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2892" w14:textId="77777777" w:rsidR="006059B4" w:rsidRDefault="006059B4" w:rsidP="00747C3D">
      <w:pPr>
        <w:rPr>
          <w:color w:val="000000"/>
          <w:sz w:val="26"/>
          <w:szCs w:val="26"/>
          <w:lang w:bidi="pa-IN"/>
        </w:rPr>
        <w:sectPr w:rsidR="006059B4" w:rsidSect="001B63D0">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7CB23B77" w14:textId="77777777" w:rsidR="00320CA2" w:rsidRPr="00F24A7D" w:rsidRDefault="001B63D0" w:rsidP="001B63D0">
      <w:pPr>
        <w:pStyle w:val="Title"/>
        <w:rPr>
          <w:rFonts w:ascii="Segoe UI Semibold" w:hAnsi="Segoe UI Semibold" w:cs="Segoe UI Semibold"/>
          <w:i w:val="0"/>
          <w:iCs w:val="0"/>
          <w:sz w:val="52"/>
          <w:szCs w:val="56"/>
        </w:rPr>
      </w:pPr>
      <w:r w:rsidRPr="00F24A7D">
        <w:rPr>
          <w:rFonts w:ascii="Segoe UI Semibold" w:hAnsi="Segoe UI Semibold" w:cs="Segoe UI Semibold"/>
          <w:i w:val="0"/>
          <w:iCs w:val="0"/>
          <w:sz w:val="52"/>
          <w:szCs w:val="56"/>
        </w:rPr>
        <w:t xml:space="preserve">Emergency School Closure </w:t>
      </w:r>
    </w:p>
    <w:p w14:paraId="3323D69B" w14:textId="30064C84" w:rsidR="001B63D0" w:rsidRPr="00F24A7D" w:rsidRDefault="001B63D0" w:rsidP="001B63D0">
      <w:pPr>
        <w:pStyle w:val="Title"/>
        <w:rPr>
          <w:rFonts w:ascii="Segoe UI Semibold" w:hAnsi="Segoe UI Semibold" w:cs="Segoe UI Semibold"/>
          <w:i w:val="0"/>
          <w:iCs w:val="0"/>
          <w:sz w:val="52"/>
          <w:szCs w:val="56"/>
        </w:rPr>
      </w:pPr>
      <w:r w:rsidRPr="00F24A7D">
        <w:rPr>
          <w:rFonts w:ascii="Segoe UI Semibold" w:hAnsi="Segoe UI Semibold" w:cs="Segoe UI Semibold"/>
          <w:i w:val="0"/>
          <w:iCs w:val="0"/>
          <w:sz w:val="52"/>
          <w:szCs w:val="56"/>
        </w:rPr>
        <w:t>Waiver Request</w:t>
      </w:r>
    </w:p>
    <w:p w14:paraId="00ECD1B4" w14:textId="77777777" w:rsidR="001B63D0" w:rsidRDefault="001B63D0" w:rsidP="001B63D0"/>
    <w:p w14:paraId="18358E41" w14:textId="77777777" w:rsidR="001B63D0" w:rsidRPr="008C2A0C" w:rsidRDefault="001B63D0" w:rsidP="001B63D0">
      <w:pPr>
        <w:rPr>
          <w:i/>
          <w:iCs/>
        </w:rPr>
      </w:pPr>
      <w:r>
        <w:t xml:space="preserve">As part of the basic education requirements in Washington state, each </w:t>
      </w:r>
      <w:r w:rsidRPr="00F135FA">
        <w:t>local education agency (LEA</w:t>
      </w:r>
      <w:r>
        <w:t>*</w:t>
      </w:r>
      <w:r w:rsidRPr="00F135FA">
        <w:t xml:space="preserve">) </w:t>
      </w:r>
      <w:r>
        <w:t xml:space="preserve">must make a minimum of 180 school days available to students each school year. </w:t>
      </w:r>
      <w:r w:rsidRPr="00F135FA">
        <w:t>LEAs must also provide at least 1,000 annual instructional hours to students in kindergarten through 8th grade, and at least 1,080 annual instructional hours to students in grades 9</w:t>
      </w:r>
      <w:r>
        <w:t>–</w:t>
      </w:r>
      <w:r w:rsidRPr="00F135FA">
        <w:t>12 (a district-wide average of at least 1,027 hours in grades 1</w:t>
      </w:r>
      <w:r>
        <w:t>–</w:t>
      </w:r>
      <w:r w:rsidRPr="00F135FA">
        <w:t>12). LEAs receive state funding based on the number of students who are enrolled in the district for an average of 1,027 instructional hours over 180 school days.</w:t>
      </w:r>
      <w:r>
        <w:t xml:space="preserve"> </w:t>
      </w:r>
      <w:r w:rsidRPr="008C2A0C">
        <w:t>(*</w:t>
      </w:r>
      <w:r w:rsidRPr="008C2A0C">
        <w:rPr>
          <w:i/>
          <w:iCs/>
        </w:rPr>
        <w:t>LEAs include public school districts, state-tribal education compact schools, and charter schools.)</w:t>
      </w:r>
    </w:p>
    <w:p w14:paraId="599F1F5E" w14:textId="77777777" w:rsidR="001B63D0" w:rsidRDefault="001B63D0" w:rsidP="001B63D0"/>
    <w:p w14:paraId="488330A1" w14:textId="77777777" w:rsidR="001B63D0" w:rsidRDefault="001B63D0" w:rsidP="001B63D0">
      <w:r>
        <w:t>Occasionally, unforeseen emergencies cause temporary school closures because the</w:t>
      </w:r>
      <w:r w:rsidRPr="00985DFA">
        <w:t xml:space="preserve"> facilities </w:t>
      </w:r>
      <w:r>
        <w:t xml:space="preserve">could be </w:t>
      </w:r>
      <w:r w:rsidRPr="00985DFA">
        <w:t>unsafe, unhealthy, inaccessible, or inoperable.</w:t>
      </w:r>
      <w:r>
        <w:t xml:space="preserve">  Unforeseeable emergencies include one or more natural event, mechanical failure, or action or inaction by one or more persons.  Under certain circumstances, LEAs may request an emergency school closure waiver from the 180-day school year requirement.  </w:t>
      </w:r>
    </w:p>
    <w:p w14:paraId="6BED599E" w14:textId="77777777" w:rsidR="001B63D0" w:rsidRDefault="001B63D0" w:rsidP="001B63D0"/>
    <w:p w14:paraId="0B93E708" w14:textId="77777777" w:rsidR="001B63D0" w:rsidRPr="00890814" w:rsidRDefault="001B63D0" w:rsidP="00320CA2">
      <w:pPr>
        <w:pStyle w:val="Heading2"/>
        <w:spacing w:after="160"/>
      </w:pPr>
      <w:r w:rsidRPr="00890814">
        <w:t xml:space="preserve">To request an Emergency School Closure Waiver, LEAs must:  </w:t>
      </w:r>
    </w:p>
    <w:p w14:paraId="4412CF49" w14:textId="4680EBE1" w:rsidR="001B63D0" w:rsidRDefault="00C1423F" w:rsidP="00320CA2">
      <w:pPr>
        <w:pStyle w:val="ListParagraph"/>
        <w:numPr>
          <w:ilvl w:val="0"/>
          <w:numId w:val="2"/>
        </w:numPr>
        <w:spacing w:after="160"/>
        <w:contextualSpacing w:val="0"/>
      </w:pPr>
      <w:r>
        <w:t>Submit</w:t>
      </w:r>
      <w:r w:rsidR="001B63D0">
        <w:t xml:space="preserve"> the Emergency School Closure Waiver Day request form</w:t>
      </w:r>
      <w:r w:rsidR="00021F0F">
        <w:t>.</w:t>
      </w:r>
    </w:p>
    <w:p w14:paraId="20A6F1E6" w14:textId="77777777" w:rsidR="001B63D0" w:rsidRDefault="001B63D0" w:rsidP="00320CA2">
      <w:pPr>
        <w:pStyle w:val="ListParagraph"/>
        <w:numPr>
          <w:ilvl w:val="0"/>
          <w:numId w:val="2"/>
        </w:numPr>
        <w:spacing w:after="160"/>
        <w:contextualSpacing w:val="0"/>
      </w:pPr>
      <w:r>
        <w:t>Indicate the district will meet the average annual hours of instruction requirement of 1,027 hours (or 1,000 hours for K–8 districts).</w:t>
      </w:r>
    </w:p>
    <w:p w14:paraId="3F9AB7E2" w14:textId="103160A1" w:rsidR="001B63D0" w:rsidRDefault="001B63D0" w:rsidP="00320CA2">
      <w:pPr>
        <w:pStyle w:val="ListParagraph"/>
        <w:numPr>
          <w:ilvl w:val="0"/>
          <w:numId w:val="2"/>
        </w:numPr>
        <w:spacing w:after="160"/>
        <w:contextualSpacing w:val="0"/>
      </w:pPr>
      <w:r>
        <w:t>Make-up at least three (3) school days</w:t>
      </w:r>
      <w:r w:rsidR="00C1423F">
        <w:t xml:space="preserve"> for district-wide closures</w:t>
      </w:r>
      <w:r>
        <w:t>, per incident</w:t>
      </w:r>
      <w:r w:rsidR="00C1423F">
        <w:t>,</w:t>
      </w:r>
      <w:r>
        <w:t xml:space="preserve"> and demonstrate reasonable effort to make-up all the missed school days.  Per WAC 392-129-105, “reasonable effort” means:</w:t>
      </w:r>
    </w:p>
    <w:p w14:paraId="2D8D1CD7" w14:textId="77777777" w:rsidR="001B63D0" w:rsidRDefault="001B63D0" w:rsidP="00320CA2">
      <w:pPr>
        <w:pStyle w:val="ListParagraph"/>
        <w:numPr>
          <w:ilvl w:val="1"/>
          <w:numId w:val="2"/>
        </w:numPr>
        <w:spacing w:after="160"/>
        <w:contextualSpacing w:val="0"/>
      </w:pPr>
      <w:r>
        <w:t>Extension of the school year to and through June 14.</w:t>
      </w:r>
    </w:p>
    <w:p w14:paraId="19981F60" w14:textId="77777777" w:rsidR="001B63D0" w:rsidRDefault="001B63D0" w:rsidP="00320CA2">
      <w:pPr>
        <w:pStyle w:val="ListParagraph"/>
        <w:numPr>
          <w:ilvl w:val="1"/>
          <w:numId w:val="2"/>
        </w:numPr>
        <w:spacing w:after="160"/>
        <w:contextualSpacing w:val="0"/>
      </w:pPr>
      <w:r>
        <w:t>Use of scheduled vacation days and foreseeable school closure days to meet the requirements for 180 days and 1,027 hours.</w:t>
      </w:r>
    </w:p>
    <w:p w14:paraId="7BF87359" w14:textId="77777777" w:rsidR="001B63D0" w:rsidRDefault="001B63D0" w:rsidP="00320CA2">
      <w:pPr>
        <w:pStyle w:val="ListParagraph"/>
        <w:numPr>
          <w:ilvl w:val="1"/>
          <w:numId w:val="2"/>
        </w:numPr>
        <w:spacing w:after="160"/>
        <w:contextualSpacing w:val="0"/>
      </w:pPr>
      <w:r>
        <w:t>If a state of emergency proclamation is issued by the governor, LEAs may meet the "reasonable effort" test by providing at least the district-wide annual average total instruction hour offerings.</w:t>
      </w:r>
    </w:p>
    <w:p w14:paraId="056E167F" w14:textId="77777777" w:rsidR="001B63D0" w:rsidRPr="00BF10E3" w:rsidRDefault="001B63D0" w:rsidP="001B63D0">
      <w:pPr>
        <w:rPr>
          <w:rFonts w:cs="Segoe UI"/>
        </w:rPr>
      </w:pPr>
    </w:p>
    <w:p w14:paraId="6B61AEAC" w14:textId="77777777" w:rsidR="001B63D0" w:rsidRPr="00BF10E3" w:rsidRDefault="001B63D0" w:rsidP="001B63D0">
      <w:pPr>
        <w:pStyle w:val="Heading3"/>
      </w:pPr>
      <w:r w:rsidRPr="00BF10E3">
        <w:t xml:space="preserve">Emergency School Closure Waiver Request form must be submitted to the Office of Superintendent of Public Instruction (OSPI) at </w:t>
      </w:r>
      <w:hyperlink r:id="rId15" w:history="1">
        <w:r w:rsidRPr="00772296">
          <w:rPr>
            <w:rStyle w:val="Hyperlink"/>
            <w:color w:val="0D5761" w:themeColor="accent2"/>
            <w:sz w:val="28"/>
            <w:szCs w:val="28"/>
          </w:rPr>
          <w:t>waivers@k12.wa.us</w:t>
        </w:r>
      </w:hyperlink>
      <w:r w:rsidRPr="00BF10E3">
        <w:t>.</w:t>
      </w:r>
    </w:p>
    <w:p w14:paraId="1D76E097" w14:textId="77777777" w:rsidR="001B63D0" w:rsidRPr="00BF10E3" w:rsidRDefault="001B63D0" w:rsidP="001B63D0">
      <w:pPr>
        <w:rPr>
          <w:rFonts w:cs="Segoe UI"/>
        </w:rPr>
      </w:pPr>
      <w:r w:rsidRPr="00BF10E3">
        <w:rPr>
          <w:rFonts w:cs="Segoe UI"/>
        </w:rPr>
        <w:br w:type="page"/>
      </w:r>
    </w:p>
    <w:p w14:paraId="0373FC2D" w14:textId="77777777" w:rsidR="001B63D0" w:rsidRPr="00F67C9A" w:rsidRDefault="001B63D0" w:rsidP="001B63D0">
      <w:pPr>
        <w:rPr>
          <w:rFonts w:ascii="Segoe UI Semibold" w:hAnsi="Segoe UI Semibold" w:cs="Segoe UI Semibold"/>
          <w:sz w:val="48"/>
          <w:szCs w:val="48"/>
        </w:rPr>
      </w:pPr>
      <w:r w:rsidRPr="00F67C9A">
        <w:rPr>
          <w:rFonts w:ascii="Segoe UI Semibold" w:hAnsi="Segoe UI Semibold" w:cs="Segoe UI Semibold"/>
          <w:sz w:val="48"/>
          <w:szCs w:val="48"/>
        </w:rPr>
        <w:lastRenderedPageBreak/>
        <w:t>Emergency School Closure Waiver Request</w:t>
      </w:r>
    </w:p>
    <w:p w14:paraId="6E0A6914" w14:textId="77777777" w:rsidR="001B63D0" w:rsidRDefault="001B63D0" w:rsidP="001B63D0"/>
    <w:tbl>
      <w:tblPr>
        <w:tblStyle w:val="TableGrid"/>
        <w:tblW w:w="0" w:type="auto"/>
        <w:tblLook w:val="04A0" w:firstRow="1" w:lastRow="0" w:firstColumn="1" w:lastColumn="0" w:noHBand="0" w:noVBand="1"/>
      </w:tblPr>
      <w:tblGrid>
        <w:gridCol w:w="808"/>
        <w:gridCol w:w="1517"/>
        <w:gridCol w:w="900"/>
        <w:gridCol w:w="1172"/>
        <w:gridCol w:w="1765"/>
        <w:gridCol w:w="29"/>
        <w:gridCol w:w="874"/>
        <w:gridCol w:w="30"/>
        <w:gridCol w:w="2235"/>
      </w:tblGrid>
      <w:tr w:rsidR="005423A8" w14:paraId="7C5F22C3" w14:textId="77777777" w:rsidTr="00CD6969">
        <w:tc>
          <w:tcPr>
            <w:tcW w:w="3225" w:type="dxa"/>
            <w:gridSpan w:val="3"/>
            <w:tcBorders>
              <w:top w:val="single" w:sz="12" w:space="0" w:color="auto"/>
              <w:left w:val="single" w:sz="12" w:space="0" w:color="auto"/>
              <w:bottom w:val="single" w:sz="4" w:space="0" w:color="auto"/>
              <w:right w:val="nil"/>
            </w:tcBorders>
            <w:vAlign w:val="center"/>
          </w:tcPr>
          <w:p w14:paraId="5C01E7E5" w14:textId="5BB420B4" w:rsidR="005423A8" w:rsidRPr="0047734A" w:rsidRDefault="005423A8" w:rsidP="006C21D2">
            <w:pPr>
              <w:spacing w:before="120" w:after="120"/>
              <w:rPr>
                <w:rFonts w:ascii="Arial" w:hAnsi="Arial" w:cs="Arial"/>
                <w:b/>
                <w:bCs/>
                <w:sz w:val="24"/>
              </w:rPr>
            </w:pPr>
            <w:r w:rsidRPr="00C227CD">
              <w:rPr>
                <w:rFonts w:ascii="Segoe UI Semibold" w:hAnsi="Segoe UI Semibold" w:cs="Segoe UI Semibold"/>
                <w:szCs w:val="20"/>
              </w:rPr>
              <w:t>Local Education Agency (LEA)</w:t>
            </w:r>
            <w:r>
              <w:rPr>
                <w:rFonts w:ascii="Segoe UI Semibold" w:hAnsi="Segoe UI Semibold" w:cs="Segoe UI Semibold"/>
                <w:szCs w:val="20"/>
              </w:rPr>
              <w:t xml:space="preserve">:   </w:t>
            </w:r>
          </w:p>
        </w:tc>
        <w:tc>
          <w:tcPr>
            <w:tcW w:w="6105" w:type="dxa"/>
            <w:gridSpan w:val="6"/>
            <w:tcBorders>
              <w:top w:val="single" w:sz="12" w:space="0" w:color="auto"/>
              <w:left w:val="nil"/>
              <w:bottom w:val="single" w:sz="4" w:space="0" w:color="auto"/>
              <w:right w:val="single" w:sz="12" w:space="0" w:color="auto"/>
            </w:tcBorders>
            <w:vAlign w:val="center"/>
          </w:tcPr>
          <w:p w14:paraId="502A2876" w14:textId="77777777" w:rsidR="005423A8" w:rsidRPr="006F7DC2" w:rsidRDefault="005423A8" w:rsidP="006C21D2">
            <w:pPr>
              <w:rPr>
                <w:rFonts w:ascii="Arial" w:hAnsi="Arial" w:cs="Arial"/>
                <w:b/>
                <w:bCs/>
                <w:sz w:val="24"/>
                <w:szCs w:val="24"/>
              </w:rPr>
            </w:pPr>
          </w:p>
        </w:tc>
      </w:tr>
      <w:tr w:rsidR="005423A8" w14:paraId="651F57DF" w14:textId="77777777" w:rsidTr="00702C49">
        <w:tc>
          <w:tcPr>
            <w:tcW w:w="2325" w:type="dxa"/>
            <w:gridSpan w:val="2"/>
            <w:tcBorders>
              <w:left w:val="single" w:sz="12" w:space="0" w:color="auto"/>
              <w:bottom w:val="dotted" w:sz="4" w:space="0" w:color="auto"/>
              <w:right w:val="nil"/>
            </w:tcBorders>
            <w:vAlign w:val="center"/>
          </w:tcPr>
          <w:p w14:paraId="68C58242" w14:textId="0246DD6E" w:rsidR="005423A8" w:rsidRPr="005423A8" w:rsidRDefault="005423A8" w:rsidP="006C21D2">
            <w:pPr>
              <w:spacing w:before="120" w:after="120"/>
              <w:rPr>
                <w:rFonts w:ascii="Segoe UI Semibold" w:hAnsi="Segoe UI Semibold" w:cs="Segoe UI Semibold"/>
                <w:szCs w:val="20"/>
              </w:rPr>
            </w:pPr>
            <w:r>
              <w:rPr>
                <w:rFonts w:ascii="Segoe UI Semibold" w:hAnsi="Segoe UI Semibold" w:cs="Segoe UI Semibold"/>
                <w:szCs w:val="20"/>
              </w:rPr>
              <w:t>LEA Superintendent:</w:t>
            </w:r>
          </w:p>
        </w:tc>
        <w:tc>
          <w:tcPr>
            <w:tcW w:w="7005" w:type="dxa"/>
            <w:gridSpan w:val="7"/>
            <w:tcBorders>
              <w:left w:val="nil"/>
              <w:bottom w:val="dotted" w:sz="4" w:space="0" w:color="auto"/>
              <w:right w:val="single" w:sz="12" w:space="0" w:color="auto"/>
            </w:tcBorders>
            <w:vAlign w:val="center"/>
          </w:tcPr>
          <w:p w14:paraId="7C22FBB5" w14:textId="77777777" w:rsidR="005423A8" w:rsidRPr="006F7DC2" w:rsidRDefault="005423A8" w:rsidP="006C21D2">
            <w:pPr>
              <w:rPr>
                <w:rFonts w:ascii="Arial" w:hAnsi="Arial" w:cs="Arial"/>
                <w:sz w:val="20"/>
                <w:szCs w:val="20"/>
              </w:rPr>
            </w:pPr>
          </w:p>
        </w:tc>
      </w:tr>
      <w:tr w:rsidR="0047734A" w14:paraId="3A6E4A72" w14:textId="77777777" w:rsidTr="0047734A">
        <w:tc>
          <w:tcPr>
            <w:tcW w:w="808" w:type="dxa"/>
            <w:tcBorders>
              <w:top w:val="dotted" w:sz="4" w:space="0" w:color="auto"/>
              <w:left w:val="single" w:sz="12" w:space="0" w:color="auto"/>
              <w:bottom w:val="single" w:sz="4" w:space="0" w:color="auto"/>
              <w:right w:val="nil"/>
            </w:tcBorders>
            <w:vAlign w:val="center"/>
          </w:tcPr>
          <w:p w14:paraId="5A89704E" w14:textId="77777777" w:rsidR="006C21D2" w:rsidRDefault="006C21D2" w:rsidP="006C21D2">
            <w:pPr>
              <w:spacing w:before="60" w:after="60"/>
            </w:pPr>
            <w:bookmarkStart w:id="1" w:name="_Hlk60124121"/>
            <w:r>
              <w:rPr>
                <w:rFonts w:ascii="Segoe UI Semibold" w:hAnsi="Segoe UI Semibold" w:cs="Segoe UI Semibold"/>
                <w:szCs w:val="20"/>
              </w:rPr>
              <w:t>Email:</w:t>
            </w:r>
            <w:r>
              <w:rPr>
                <w:rFonts w:ascii="Segoe UI Semibold" w:hAnsi="Segoe UI Semibold" w:cs="Segoe UI Semibold"/>
                <w:szCs w:val="20"/>
              </w:rPr>
              <w:t xml:space="preserve">  </w:t>
            </w:r>
          </w:p>
        </w:tc>
        <w:tc>
          <w:tcPr>
            <w:tcW w:w="5354" w:type="dxa"/>
            <w:gridSpan w:val="4"/>
            <w:tcBorders>
              <w:top w:val="dotted" w:sz="4" w:space="0" w:color="auto"/>
              <w:left w:val="nil"/>
              <w:bottom w:val="single" w:sz="4" w:space="0" w:color="auto"/>
              <w:right w:val="dotted" w:sz="4" w:space="0" w:color="auto"/>
            </w:tcBorders>
            <w:vAlign w:val="center"/>
          </w:tcPr>
          <w:p w14:paraId="07DBD5E7" w14:textId="6519E5FD" w:rsidR="006C21D2" w:rsidRPr="0047734A" w:rsidRDefault="006C21D2" w:rsidP="006C21D2">
            <w:pPr>
              <w:spacing w:before="60" w:after="60"/>
              <w:rPr>
                <w:rFonts w:ascii="Arial" w:hAnsi="Arial" w:cs="Arial"/>
                <w:sz w:val="20"/>
                <w:szCs w:val="20"/>
              </w:rPr>
            </w:pPr>
          </w:p>
        </w:tc>
        <w:tc>
          <w:tcPr>
            <w:tcW w:w="903" w:type="dxa"/>
            <w:gridSpan w:val="2"/>
            <w:tcBorders>
              <w:top w:val="dotted" w:sz="4" w:space="0" w:color="auto"/>
              <w:left w:val="dotted" w:sz="4" w:space="0" w:color="auto"/>
              <w:bottom w:val="single" w:sz="4" w:space="0" w:color="auto"/>
              <w:right w:val="nil"/>
            </w:tcBorders>
            <w:vAlign w:val="center"/>
          </w:tcPr>
          <w:p w14:paraId="17A9BC96" w14:textId="2D9910D9" w:rsidR="006C21D2" w:rsidRDefault="006C21D2" w:rsidP="006C21D2">
            <w:pPr>
              <w:spacing w:before="60" w:after="60"/>
            </w:pPr>
            <w:r>
              <w:rPr>
                <w:rFonts w:ascii="Segoe UI Semibold" w:hAnsi="Segoe UI Semibold" w:cs="Segoe UI Semibold"/>
                <w:szCs w:val="20"/>
              </w:rPr>
              <w:t xml:space="preserve">Phone:      </w:t>
            </w:r>
          </w:p>
        </w:tc>
        <w:tc>
          <w:tcPr>
            <w:tcW w:w="2265" w:type="dxa"/>
            <w:gridSpan w:val="2"/>
            <w:tcBorders>
              <w:top w:val="dotted" w:sz="4" w:space="0" w:color="auto"/>
              <w:left w:val="nil"/>
              <w:bottom w:val="single" w:sz="4" w:space="0" w:color="auto"/>
              <w:right w:val="single" w:sz="12" w:space="0" w:color="auto"/>
            </w:tcBorders>
            <w:vAlign w:val="center"/>
          </w:tcPr>
          <w:p w14:paraId="4D4064F8" w14:textId="5F02C210" w:rsidR="006C21D2" w:rsidRPr="0047734A" w:rsidRDefault="006C21D2" w:rsidP="006C21D2">
            <w:pPr>
              <w:spacing w:before="60" w:after="60"/>
              <w:rPr>
                <w:rFonts w:ascii="Arial" w:hAnsi="Arial" w:cs="Arial"/>
                <w:sz w:val="20"/>
                <w:szCs w:val="20"/>
              </w:rPr>
            </w:pPr>
          </w:p>
        </w:tc>
      </w:tr>
      <w:bookmarkEnd w:id="1"/>
      <w:tr w:rsidR="005423A8" w14:paraId="0B5C46C6" w14:textId="77777777" w:rsidTr="0047734A">
        <w:tc>
          <w:tcPr>
            <w:tcW w:w="4397" w:type="dxa"/>
            <w:gridSpan w:val="4"/>
            <w:tcBorders>
              <w:left w:val="single" w:sz="12" w:space="0" w:color="auto"/>
              <w:bottom w:val="dotted" w:sz="4" w:space="0" w:color="auto"/>
              <w:right w:val="nil"/>
            </w:tcBorders>
            <w:vAlign w:val="center"/>
          </w:tcPr>
          <w:p w14:paraId="342AD4C7" w14:textId="405C5467" w:rsidR="005423A8" w:rsidRPr="00D376FE" w:rsidRDefault="005423A8" w:rsidP="006C21D2">
            <w:pPr>
              <w:spacing w:before="120" w:after="120"/>
              <w:rPr>
                <w:rFonts w:ascii="Segoe UI Semibold" w:hAnsi="Segoe UI Semibold" w:cs="Segoe UI Semibold"/>
                <w:szCs w:val="20"/>
              </w:rPr>
            </w:pPr>
            <w:r>
              <w:rPr>
                <w:rFonts w:ascii="Segoe UI Semibold" w:hAnsi="Segoe UI Semibold" w:cs="Segoe UI Semibold"/>
                <w:szCs w:val="20"/>
              </w:rPr>
              <w:t xml:space="preserve">Person submitting application </w:t>
            </w:r>
            <w:r w:rsidRPr="006C21D2">
              <w:rPr>
                <w:rFonts w:ascii="Segoe UI" w:hAnsi="Segoe UI" w:cs="Segoe UI"/>
                <w:i/>
                <w:iCs/>
                <w:sz w:val="20"/>
                <w:szCs w:val="18"/>
              </w:rPr>
              <w:t>(if different)</w:t>
            </w:r>
            <w:r>
              <w:rPr>
                <w:rFonts w:ascii="Segoe UI Semibold" w:hAnsi="Segoe UI Semibold" w:cs="Segoe UI Semibold"/>
                <w:szCs w:val="20"/>
              </w:rPr>
              <w:t xml:space="preserve">:     </w:t>
            </w:r>
          </w:p>
        </w:tc>
        <w:tc>
          <w:tcPr>
            <w:tcW w:w="4933" w:type="dxa"/>
            <w:gridSpan w:val="5"/>
            <w:tcBorders>
              <w:left w:val="nil"/>
              <w:bottom w:val="dotted" w:sz="4" w:space="0" w:color="auto"/>
              <w:right w:val="single" w:sz="12" w:space="0" w:color="auto"/>
            </w:tcBorders>
            <w:vAlign w:val="center"/>
          </w:tcPr>
          <w:p w14:paraId="6A319634" w14:textId="77777777" w:rsidR="005423A8" w:rsidRPr="0047734A" w:rsidRDefault="005423A8" w:rsidP="006C21D2">
            <w:pPr>
              <w:rPr>
                <w:rFonts w:ascii="Arial" w:hAnsi="Arial" w:cs="Arial"/>
                <w:sz w:val="20"/>
                <w:szCs w:val="20"/>
              </w:rPr>
            </w:pPr>
          </w:p>
        </w:tc>
      </w:tr>
      <w:tr w:rsidR="006C21D2" w14:paraId="209FB2EF" w14:textId="77777777" w:rsidTr="00702C49">
        <w:tc>
          <w:tcPr>
            <w:tcW w:w="808" w:type="dxa"/>
            <w:tcBorders>
              <w:top w:val="dotted" w:sz="4" w:space="0" w:color="auto"/>
              <w:left w:val="single" w:sz="12" w:space="0" w:color="auto"/>
              <w:bottom w:val="single" w:sz="12" w:space="0" w:color="auto"/>
              <w:right w:val="nil"/>
            </w:tcBorders>
            <w:vAlign w:val="center"/>
          </w:tcPr>
          <w:p w14:paraId="7482E1E1" w14:textId="77777777" w:rsidR="006C21D2" w:rsidRDefault="006C21D2" w:rsidP="006C21D2">
            <w:pPr>
              <w:spacing w:before="60" w:after="60"/>
            </w:pPr>
            <w:r>
              <w:rPr>
                <w:rFonts w:ascii="Segoe UI Semibold" w:hAnsi="Segoe UI Semibold" w:cs="Segoe UI Semibold"/>
                <w:szCs w:val="20"/>
              </w:rPr>
              <w:t>Email:</w:t>
            </w:r>
          </w:p>
        </w:tc>
        <w:tc>
          <w:tcPr>
            <w:tcW w:w="5383" w:type="dxa"/>
            <w:gridSpan w:val="5"/>
            <w:tcBorders>
              <w:top w:val="dotted" w:sz="4" w:space="0" w:color="auto"/>
              <w:left w:val="nil"/>
              <w:bottom w:val="single" w:sz="12" w:space="0" w:color="auto"/>
              <w:right w:val="dotted" w:sz="4" w:space="0" w:color="auto"/>
            </w:tcBorders>
            <w:vAlign w:val="center"/>
          </w:tcPr>
          <w:p w14:paraId="70A59CAD" w14:textId="63847928" w:rsidR="006C21D2" w:rsidRPr="0047734A" w:rsidRDefault="006C21D2" w:rsidP="006C21D2">
            <w:pPr>
              <w:spacing w:before="60" w:after="60"/>
              <w:rPr>
                <w:rFonts w:ascii="Arial" w:hAnsi="Arial" w:cs="Arial"/>
                <w:sz w:val="20"/>
                <w:szCs w:val="20"/>
              </w:rPr>
            </w:pPr>
          </w:p>
        </w:tc>
        <w:tc>
          <w:tcPr>
            <w:tcW w:w="904" w:type="dxa"/>
            <w:gridSpan w:val="2"/>
            <w:tcBorders>
              <w:top w:val="dotted" w:sz="4" w:space="0" w:color="auto"/>
              <w:left w:val="dotted" w:sz="4" w:space="0" w:color="auto"/>
              <w:bottom w:val="single" w:sz="12" w:space="0" w:color="auto"/>
              <w:right w:val="nil"/>
            </w:tcBorders>
            <w:vAlign w:val="center"/>
          </w:tcPr>
          <w:p w14:paraId="1C7887F8" w14:textId="6C28D8C2" w:rsidR="006C21D2" w:rsidRDefault="006C21D2" w:rsidP="006C21D2">
            <w:pPr>
              <w:spacing w:before="60" w:after="60"/>
            </w:pPr>
            <w:r>
              <w:rPr>
                <w:rFonts w:ascii="Segoe UI Semibold" w:hAnsi="Segoe UI Semibold" w:cs="Segoe UI Semibold"/>
                <w:szCs w:val="20"/>
              </w:rPr>
              <w:t>Phone:</w:t>
            </w:r>
          </w:p>
        </w:tc>
        <w:tc>
          <w:tcPr>
            <w:tcW w:w="2235" w:type="dxa"/>
            <w:tcBorders>
              <w:top w:val="dotted" w:sz="4" w:space="0" w:color="auto"/>
              <w:left w:val="nil"/>
              <w:bottom w:val="single" w:sz="12" w:space="0" w:color="auto"/>
              <w:right w:val="single" w:sz="12" w:space="0" w:color="auto"/>
            </w:tcBorders>
            <w:vAlign w:val="center"/>
          </w:tcPr>
          <w:p w14:paraId="09A1D61C" w14:textId="7E5D1902" w:rsidR="006C21D2" w:rsidRPr="0047734A" w:rsidRDefault="006C21D2" w:rsidP="006C21D2">
            <w:pPr>
              <w:spacing w:before="60" w:after="60"/>
              <w:rPr>
                <w:rFonts w:ascii="Arial" w:hAnsi="Arial" w:cs="Arial"/>
                <w:sz w:val="20"/>
                <w:szCs w:val="20"/>
              </w:rPr>
            </w:pPr>
          </w:p>
        </w:tc>
      </w:tr>
    </w:tbl>
    <w:p w14:paraId="5392CBD6" w14:textId="77777777" w:rsidR="005423A8" w:rsidRDefault="005423A8" w:rsidP="001B63D0">
      <w:bookmarkStart w:id="2" w:name="_GoBack"/>
      <w:bookmarkEnd w:id="2"/>
    </w:p>
    <w:tbl>
      <w:tblPr>
        <w:tblStyle w:val="TableGrid"/>
        <w:tblW w:w="0" w:type="auto"/>
        <w:tblLook w:val="04A0" w:firstRow="1" w:lastRow="0" w:firstColumn="1" w:lastColumn="0" w:noHBand="0" w:noVBand="1"/>
      </w:tblPr>
      <w:tblGrid>
        <w:gridCol w:w="3865"/>
        <w:gridCol w:w="2340"/>
        <w:gridCol w:w="3145"/>
      </w:tblGrid>
      <w:tr w:rsidR="001B63D0" w14:paraId="7E5FB488" w14:textId="77777777" w:rsidTr="00291118">
        <w:tc>
          <w:tcPr>
            <w:tcW w:w="3865" w:type="dxa"/>
          </w:tcPr>
          <w:p w14:paraId="152C0EE5" w14:textId="77777777" w:rsidR="001B63D0" w:rsidRPr="00971DF6" w:rsidRDefault="001B63D0" w:rsidP="00291118">
            <w:pPr>
              <w:rPr>
                <w:rFonts w:ascii="Segoe UI Semibold" w:hAnsi="Segoe UI Semibold" w:cs="Segoe UI Semibold"/>
              </w:rPr>
            </w:pPr>
            <w:r w:rsidRPr="00971DF6">
              <w:rPr>
                <w:rFonts w:ascii="Segoe UI Semibold" w:hAnsi="Segoe UI Semibold" w:cs="Segoe UI Semibold"/>
              </w:rPr>
              <w:t xml:space="preserve">Emergency </w:t>
            </w:r>
            <w:r>
              <w:rPr>
                <w:rFonts w:ascii="Segoe UI Semibold" w:hAnsi="Segoe UI Semibold" w:cs="Segoe UI Semibold"/>
              </w:rPr>
              <w:t>C</w:t>
            </w:r>
            <w:r w:rsidRPr="00971DF6">
              <w:rPr>
                <w:rFonts w:ascii="Segoe UI Semibold" w:hAnsi="Segoe UI Semibold" w:cs="Segoe UI Semibold"/>
              </w:rPr>
              <w:t xml:space="preserve">losure </w:t>
            </w:r>
            <w:r>
              <w:rPr>
                <w:rFonts w:ascii="Segoe UI Semibold" w:hAnsi="Segoe UI Semibold" w:cs="Segoe UI Semibold"/>
              </w:rPr>
              <w:t>D</w:t>
            </w:r>
            <w:r w:rsidRPr="00971DF6">
              <w:rPr>
                <w:rFonts w:ascii="Segoe UI Semibold" w:hAnsi="Segoe UI Semibold" w:cs="Segoe UI Semibold"/>
              </w:rPr>
              <w:t>ate(s)</w:t>
            </w:r>
          </w:p>
          <w:p w14:paraId="56442AC7" w14:textId="77777777" w:rsidR="001B63D0" w:rsidRPr="00971DF6" w:rsidRDefault="001B63D0" w:rsidP="004A1717">
            <w:pPr>
              <w:spacing w:after="120"/>
              <w:rPr>
                <w:rFonts w:ascii="Segoe UI Semibold" w:hAnsi="Segoe UI Semibold" w:cs="Segoe UI Semibold"/>
              </w:rPr>
            </w:pPr>
          </w:p>
        </w:tc>
        <w:tc>
          <w:tcPr>
            <w:tcW w:w="5485" w:type="dxa"/>
            <w:gridSpan w:val="2"/>
          </w:tcPr>
          <w:p w14:paraId="1029E7FE" w14:textId="77777777" w:rsidR="001B63D0" w:rsidRPr="005C0DA9" w:rsidRDefault="001B63D0" w:rsidP="00AC6CB8">
            <w:pPr>
              <w:spacing w:before="40" w:after="40"/>
              <w:rPr>
                <w:rFonts w:ascii="Arial" w:hAnsi="Arial" w:cs="Arial"/>
                <w:sz w:val="20"/>
                <w:szCs w:val="20"/>
              </w:rPr>
            </w:pPr>
          </w:p>
          <w:p w14:paraId="32B5AAA1" w14:textId="5A2CFAE7" w:rsidR="001B63D0" w:rsidRPr="005C0DA9" w:rsidRDefault="001B63D0" w:rsidP="00AC6CB8">
            <w:pPr>
              <w:spacing w:before="40" w:after="40"/>
              <w:rPr>
                <w:rFonts w:ascii="Arial" w:hAnsi="Arial" w:cs="Arial"/>
                <w:sz w:val="20"/>
                <w:szCs w:val="20"/>
              </w:rPr>
            </w:pPr>
          </w:p>
        </w:tc>
      </w:tr>
      <w:tr w:rsidR="001B63D0" w14:paraId="10F830AF" w14:textId="77777777" w:rsidTr="00291118">
        <w:tc>
          <w:tcPr>
            <w:tcW w:w="3865" w:type="dxa"/>
          </w:tcPr>
          <w:p w14:paraId="389DC1A3" w14:textId="03B66F5C" w:rsidR="001B63D0" w:rsidRDefault="00F6559C" w:rsidP="00291118">
            <w:pPr>
              <w:rPr>
                <w:rFonts w:ascii="Segoe UI Semibold" w:hAnsi="Segoe UI Semibold" w:cs="Segoe UI Semibold"/>
              </w:rPr>
            </w:pPr>
            <w:r>
              <w:rPr>
                <w:rFonts w:ascii="Segoe UI Semibold" w:hAnsi="Segoe UI Semibold" w:cs="Segoe UI Semibold"/>
              </w:rPr>
              <w:t>Was the closure d</w:t>
            </w:r>
            <w:r w:rsidR="001B63D0">
              <w:rPr>
                <w:rFonts w:ascii="Segoe UI Semibold" w:hAnsi="Segoe UI Semibold" w:cs="Segoe UI Semibold"/>
              </w:rPr>
              <w:t>istrict-wide?</w:t>
            </w:r>
          </w:p>
          <w:p w14:paraId="171A6A5A" w14:textId="52499521" w:rsidR="001B63D0" w:rsidRPr="00F6559C" w:rsidRDefault="00F6559C" w:rsidP="00291118">
            <w:pPr>
              <w:spacing w:after="120"/>
              <w:rPr>
                <w:rFonts w:ascii="Segoe UI" w:hAnsi="Segoe UI" w:cs="Segoe UI"/>
                <w:i/>
                <w:iCs/>
              </w:rPr>
            </w:pPr>
            <w:r w:rsidRPr="00F6559C">
              <w:rPr>
                <w:rFonts w:ascii="Segoe UI" w:hAnsi="Segoe UI" w:cs="Segoe UI"/>
                <w:i/>
                <w:iCs/>
                <w:sz w:val="20"/>
                <w:szCs w:val="20"/>
              </w:rPr>
              <w:t>If, c</w:t>
            </w:r>
            <w:r w:rsidR="001B63D0" w:rsidRPr="00F6559C">
              <w:rPr>
                <w:rFonts w:ascii="Segoe UI" w:hAnsi="Segoe UI" w:cs="Segoe UI"/>
                <w:i/>
                <w:iCs/>
                <w:sz w:val="20"/>
                <w:szCs w:val="20"/>
              </w:rPr>
              <w:t>ertain schools only</w:t>
            </w:r>
            <w:r w:rsidRPr="00F6559C">
              <w:rPr>
                <w:rFonts w:ascii="Segoe UI" w:hAnsi="Segoe UI" w:cs="Segoe UI"/>
                <w:i/>
                <w:iCs/>
                <w:sz w:val="20"/>
                <w:szCs w:val="20"/>
              </w:rPr>
              <w:t xml:space="preserve">, </w:t>
            </w:r>
            <w:r w:rsidR="001B63D0" w:rsidRPr="00F6559C">
              <w:rPr>
                <w:rFonts w:ascii="Segoe UI" w:hAnsi="Segoe UI" w:cs="Segoe UI"/>
                <w:i/>
                <w:iCs/>
                <w:sz w:val="20"/>
                <w:szCs w:val="20"/>
              </w:rPr>
              <w:t xml:space="preserve">list individual schools </w:t>
            </w:r>
            <w:r w:rsidRPr="00F6559C">
              <w:rPr>
                <w:rFonts w:ascii="Segoe UI" w:hAnsi="Segoe UI" w:cs="Segoe UI"/>
                <w:i/>
                <w:iCs/>
                <w:sz w:val="20"/>
                <w:szCs w:val="20"/>
              </w:rPr>
              <w:t>that</w:t>
            </w:r>
            <w:r w:rsidR="001B63D0" w:rsidRPr="00F6559C">
              <w:rPr>
                <w:rFonts w:ascii="Segoe UI" w:hAnsi="Segoe UI" w:cs="Segoe UI"/>
                <w:i/>
                <w:iCs/>
                <w:sz w:val="20"/>
                <w:szCs w:val="20"/>
              </w:rPr>
              <w:t xml:space="preserve"> did not operate</w:t>
            </w:r>
            <w:r w:rsidRPr="00F6559C">
              <w:rPr>
                <w:rFonts w:ascii="Segoe UI" w:hAnsi="Segoe UI" w:cs="Segoe UI"/>
                <w:i/>
                <w:iCs/>
                <w:sz w:val="20"/>
                <w:szCs w:val="20"/>
              </w:rPr>
              <w:t>.</w:t>
            </w:r>
          </w:p>
        </w:tc>
        <w:tc>
          <w:tcPr>
            <w:tcW w:w="5485" w:type="dxa"/>
            <w:gridSpan w:val="2"/>
          </w:tcPr>
          <w:p w14:paraId="6B6EB3E4" w14:textId="77777777" w:rsidR="001B63D0" w:rsidRPr="005C0DA9" w:rsidRDefault="001B63D0" w:rsidP="00AC6CB8">
            <w:pPr>
              <w:spacing w:before="40" w:after="40"/>
              <w:rPr>
                <w:rFonts w:ascii="Arial" w:hAnsi="Arial" w:cs="Arial"/>
                <w:sz w:val="20"/>
                <w:szCs w:val="20"/>
              </w:rPr>
            </w:pPr>
          </w:p>
        </w:tc>
      </w:tr>
      <w:tr w:rsidR="001B63D0" w14:paraId="50C04977" w14:textId="77777777" w:rsidTr="00291118">
        <w:tc>
          <w:tcPr>
            <w:tcW w:w="3865" w:type="dxa"/>
          </w:tcPr>
          <w:p w14:paraId="619D3BFF" w14:textId="351B0C1A" w:rsidR="001B63D0" w:rsidRPr="00C1423F" w:rsidRDefault="001B63D0" w:rsidP="004A1717">
            <w:pPr>
              <w:spacing w:after="120"/>
              <w:rPr>
                <w:rFonts w:ascii="Segoe UI Semibold" w:hAnsi="Segoe UI Semibold" w:cs="Segoe UI Semibold"/>
              </w:rPr>
            </w:pPr>
            <w:r w:rsidRPr="00971DF6">
              <w:rPr>
                <w:rFonts w:ascii="Segoe UI Semibold" w:hAnsi="Segoe UI Semibold" w:cs="Segoe UI Semibold"/>
              </w:rPr>
              <w:t xml:space="preserve">Cause of emergency district-wide or school closure </w:t>
            </w:r>
            <w:r w:rsidRPr="00C1423F">
              <w:rPr>
                <w:rFonts w:ascii="Segoe UI" w:hAnsi="Segoe UI" w:cs="Segoe UI"/>
                <w:i/>
                <w:iCs/>
                <w:sz w:val="20"/>
                <w:szCs w:val="20"/>
              </w:rPr>
              <w:t>(describe in detail)</w:t>
            </w:r>
          </w:p>
        </w:tc>
        <w:tc>
          <w:tcPr>
            <w:tcW w:w="5485" w:type="dxa"/>
            <w:gridSpan w:val="2"/>
          </w:tcPr>
          <w:p w14:paraId="68138ACA" w14:textId="77777777" w:rsidR="001B63D0" w:rsidRPr="005C0DA9" w:rsidRDefault="001B63D0" w:rsidP="00AC6CB8">
            <w:pPr>
              <w:spacing w:before="40" w:after="40"/>
              <w:rPr>
                <w:rFonts w:ascii="Arial" w:hAnsi="Arial" w:cs="Arial"/>
                <w:sz w:val="20"/>
                <w:szCs w:val="20"/>
              </w:rPr>
            </w:pPr>
          </w:p>
        </w:tc>
      </w:tr>
      <w:tr w:rsidR="001B63D0" w14:paraId="5C46E7B1" w14:textId="77777777" w:rsidTr="00291118">
        <w:tc>
          <w:tcPr>
            <w:tcW w:w="3865" w:type="dxa"/>
          </w:tcPr>
          <w:p w14:paraId="55B7579A" w14:textId="0032F9E9" w:rsidR="001B63D0" w:rsidRPr="00C1423F" w:rsidRDefault="001B63D0" w:rsidP="00F6559C">
            <w:pPr>
              <w:spacing w:after="120"/>
              <w:rPr>
                <w:rFonts w:ascii="Segoe UI Semibold" w:hAnsi="Segoe UI Semibold" w:cs="Segoe UI Semibold"/>
              </w:rPr>
            </w:pPr>
            <w:r>
              <w:rPr>
                <w:rFonts w:ascii="Segoe UI Semibold" w:hAnsi="Segoe UI Semibold" w:cs="Segoe UI Semibold"/>
              </w:rPr>
              <w:t xml:space="preserve">Instructional Hours </w:t>
            </w:r>
            <w:r w:rsidR="00C1423F">
              <w:rPr>
                <w:rFonts w:ascii="Segoe UI Semibold" w:hAnsi="Segoe UI Semibold" w:cs="Segoe UI Semibold"/>
              </w:rPr>
              <w:t xml:space="preserve">– </w:t>
            </w:r>
            <w:r w:rsidR="00AE483F" w:rsidRPr="00AE483F">
              <w:rPr>
                <w:rFonts w:ascii="Segoe UI" w:hAnsi="Segoe UI" w:cs="Segoe UI"/>
              </w:rPr>
              <w:t>Will</w:t>
            </w:r>
            <w:r w:rsidR="00AE483F">
              <w:rPr>
                <w:rFonts w:ascii="Segoe UI Semibold" w:hAnsi="Segoe UI Semibold" w:cs="Segoe UI Semibold"/>
              </w:rPr>
              <w:t xml:space="preserve"> </w:t>
            </w:r>
            <w:r w:rsidRPr="00F24044">
              <w:rPr>
                <w:rFonts w:ascii="Segoe UI" w:hAnsi="Segoe UI" w:cs="Segoe UI"/>
              </w:rPr>
              <w:t xml:space="preserve">the </w:t>
            </w:r>
            <w:r w:rsidR="004E5A1B" w:rsidRPr="004E5A1B">
              <w:rPr>
                <w:rFonts w:ascii="Segoe UI" w:hAnsi="Segoe UI" w:cs="Segoe UI"/>
              </w:rPr>
              <w:t>LEA meet the annual instructional hour requirement</w:t>
            </w:r>
            <w:r w:rsidR="00AE483F">
              <w:rPr>
                <w:rFonts w:ascii="Segoe UI" w:hAnsi="Segoe UI" w:cs="Segoe UI"/>
              </w:rPr>
              <w:t>?</w:t>
            </w:r>
            <w:r w:rsidR="004A1717">
              <w:rPr>
                <w:rFonts w:ascii="Segoe UI" w:hAnsi="Segoe UI" w:cs="Segoe UI"/>
              </w:rPr>
              <w:t xml:space="preserve"> </w:t>
            </w:r>
            <w:r w:rsidR="004A1717" w:rsidRPr="004A1717">
              <w:rPr>
                <w:rFonts w:ascii="Segoe UI" w:hAnsi="Segoe UI" w:cs="Segoe UI"/>
                <w:i/>
                <w:iCs/>
                <w:sz w:val="20"/>
                <w:szCs w:val="20"/>
              </w:rPr>
              <w:t>(If no, explain in detail)</w:t>
            </w:r>
          </w:p>
        </w:tc>
        <w:tc>
          <w:tcPr>
            <w:tcW w:w="5485" w:type="dxa"/>
            <w:gridSpan w:val="2"/>
          </w:tcPr>
          <w:p w14:paraId="75A88017" w14:textId="77777777" w:rsidR="001B63D0" w:rsidRPr="005C0DA9" w:rsidRDefault="001B63D0" w:rsidP="00AC6CB8">
            <w:pPr>
              <w:spacing w:before="40" w:after="40"/>
              <w:rPr>
                <w:rFonts w:ascii="Arial" w:hAnsi="Arial" w:cs="Arial"/>
                <w:sz w:val="20"/>
                <w:szCs w:val="20"/>
              </w:rPr>
            </w:pPr>
          </w:p>
        </w:tc>
      </w:tr>
      <w:tr w:rsidR="001B63D0" w14:paraId="48B6826B" w14:textId="77777777" w:rsidTr="00D76250">
        <w:tc>
          <w:tcPr>
            <w:tcW w:w="3865" w:type="dxa"/>
            <w:tcBorders>
              <w:bottom w:val="single" w:sz="12" w:space="0" w:color="auto"/>
            </w:tcBorders>
          </w:tcPr>
          <w:p w14:paraId="27335C86" w14:textId="77777777" w:rsidR="001B63D0" w:rsidRPr="00971DF6" w:rsidRDefault="001B63D0" w:rsidP="00291118">
            <w:pPr>
              <w:rPr>
                <w:rFonts w:ascii="Segoe UI Semibold" w:hAnsi="Segoe UI Semibold" w:cs="Segoe UI Semibold"/>
              </w:rPr>
            </w:pPr>
            <w:r w:rsidRPr="00971DF6">
              <w:rPr>
                <w:rFonts w:ascii="Segoe UI Semibold" w:hAnsi="Segoe UI Semibold" w:cs="Segoe UI Semibold"/>
              </w:rPr>
              <w:t>Make-Up Date(s)</w:t>
            </w:r>
          </w:p>
          <w:p w14:paraId="787157BE" w14:textId="68B6F612" w:rsidR="001B63D0" w:rsidRPr="00971DF6" w:rsidRDefault="001B63D0" w:rsidP="00F6559C">
            <w:pPr>
              <w:spacing w:after="120"/>
              <w:rPr>
                <w:rFonts w:ascii="Segoe UI Semibold" w:hAnsi="Segoe UI Semibold" w:cs="Segoe UI Semibold"/>
              </w:rPr>
            </w:pPr>
            <w:r w:rsidRPr="00971DF6">
              <w:rPr>
                <w:rFonts w:ascii="Segoe UI" w:hAnsi="Segoe UI" w:cs="Segoe UI"/>
                <w:sz w:val="20"/>
                <w:szCs w:val="20"/>
              </w:rPr>
              <w:t xml:space="preserve">Specific date(s) the school district has scheduled to make up the </w:t>
            </w:r>
            <w:r w:rsidR="00F24A7D">
              <w:rPr>
                <w:rFonts w:ascii="Segoe UI" w:hAnsi="Segoe UI" w:cs="Segoe UI"/>
                <w:sz w:val="20"/>
                <w:szCs w:val="20"/>
              </w:rPr>
              <w:t>missed</w:t>
            </w:r>
            <w:r w:rsidRPr="00971DF6">
              <w:rPr>
                <w:rFonts w:ascii="Segoe UI" w:hAnsi="Segoe UI" w:cs="Segoe UI"/>
                <w:sz w:val="20"/>
                <w:szCs w:val="20"/>
              </w:rPr>
              <w:t xml:space="preserve"> day(s).  </w:t>
            </w:r>
            <w:r w:rsidRPr="00F24044">
              <w:rPr>
                <w:rFonts w:ascii="Segoe UI Semibold" w:hAnsi="Segoe UI Semibold" w:cs="Segoe UI Semibold"/>
                <w:sz w:val="20"/>
                <w:szCs w:val="20"/>
              </w:rPr>
              <w:t>For district-wide closures, districts must make-up at least 3 school days.</w:t>
            </w:r>
          </w:p>
        </w:tc>
        <w:tc>
          <w:tcPr>
            <w:tcW w:w="5485" w:type="dxa"/>
            <w:gridSpan w:val="2"/>
            <w:tcBorders>
              <w:bottom w:val="single" w:sz="12" w:space="0" w:color="auto"/>
            </w:tcBorders>
          </w:tcPr>
          <w:p w14:paraId="2F4016C6" w14:textId="77777777" w:rsidR="001B63D0" w:rsidRPr="005C0DA9" w:rsidRDefault="001B63D0" w:rsidP="00AC6CB8">
            <w:pPr>
              <w:spacing w:before="40" w:after="40"/>
              <w:rPr>
                <w:rFonts w:ascii="Arial" w:hAnsi="Arial" w:cs="Arial"/>
                <w:sz w:val="20"/>
                <w:szCs w:val="20"/>
              </w:rPr>
            </w:pPr>
          </w:p>
        </w:tc>
      </w:tr>
      <w:tr w:rsidR="001B63D0" w14:paraId="74B112CC" w14:textId="77777777" w:rsidTr="00D76250">
        <w:tc>
          <w:tcPr>
            <w:tcW w:w="9350" w:type="dxa"/>
            <w:gridSpan w:val="3"/>
            <w:tcBorders>
              <w:top w:val="single" w:sz="12" w:space="0" w:color="auto"/>
              <w:left w:val="single" w:sz="12" w:space="0" w:color="auto"/>
              <w:bottom w:val="single" w:sz="4" w:space="0" w:color="auto"/>
              <w:right w:val="single" w:sz="12" w:space="0" w:color="auto"/>
            </w:tcBorders>
          </w:tcPr>
          <w:p w14:paraId="1CB63092" w14:textId="77777777" w:rsidR="001B63D0" w:rsidRPr="00971DF6" w:rsidRDefault="001B63D0" w:rsidP="00291118">
            <w:pPr>
              <w:spacing w:after="120"/>
              <w:rPr>
                <w:rFonts w:ascii="Segoe UI Semibold" w:hAnsi="Segoe UI Semibold" w:cs="Segoe UI Semibold"/>
              </w:rPr>
            </w:pPr>
            <w:r w:rsidRPr="00971DF6">
              <w:rPr>
                <w:rFonts w:ascii="Segoe UI Semibold" w:hAnsi="Segoe UI Semibold" w:cs="Segoe UI Semibold"/>
              </w:rPr>
              <w:t xml:space="preserve">LEA Superintendent statement:  </w:t>
            </w:r>
          </w:p>
          <w:p w14:paraId="14720185" w14:textId="77777777" w:rsidR="001B63D0" w:rsidRPr="00971DF6" w:rsidRDefault="001B63D0" w:rsidP="00BA4045">
            <w:pPr>
              <w:spacing w:after="240"/>
              <w:ind w:left="432" w:right="432"/>
              <w:jc w:val="both"/>
              <w:rPr>
                <w:rFonts w:ascii="Segoe UI" w:hAnsi="Segoe UI" w:cs="Segoe UI"/>
              </w:rPr>
            </w:pPr>
            <w:r w:rsidRPr="00971DF6">
              <w:rPr>
                <w:rFonts w:ascii="Segoe UI" w:hAnsi="Segoe UI" w:cs="Segoe UI"/>
              </w:rPr>
              <w:t xml:space="preserve">The board of directors (governing body) of the above-named LEA have reviewed this Emergency School Closure Waiver application and supports its submittal.  Foreseeable school closure days were not included in this request. </w:t>
            </w:r>
          </w:p>
        </w:tc>
      </w:tr>
      <w:tr w:rsidR="001B63D0" w14:paraId="1F43032A" w14:textId="77777777" w:rsidTr="00D76250">
        <w:trPr>
          <w:trHeight w:val="1241"/>
        </w:trPr>
        <w:tc>
          <w:tcPr>
            <w:tcW w:w="6205" w:type="dxa"/>
            <w:gridSpan w:val="2"/>
            <w:tcBorders>
              <w:left w:val="single" w:sz="12" w:space="0" w:color="auto"/>
              <w:bottom w:val="single" w:sz="12" w:space="0" w:color="auto"/>
            </w:tcBorders>
          </w:tcPr>
          <w:p w14:paraId="482B00E3" w14:textId="72E780E4" w:rsidR="001B63D0" w:rsidRPr="00971DF6" w:rsidRDefault="001B63D0" w:rsidP="00291118">
            <w:pPr>
              <w:rPr>
                <w:rFonts w:ascii="Segoe UI Semibold" w:hAnsi="Segoe UI Semibold" w:cs="Segoe UI Semibold"/>
              </w:rPr>
            </w:pPr>
            <w:r w:rsidRPr="00971DF6">
              <w:rPr>
                <w:rFonts w:ascii="Segoe UI Semibold" w:hAnsi="Segoe UI Semibold" w:cs="Segoe UI Semibold"/>
              </w:rPr>
              <w:t>Signed</w:t>
            </w:r>
            <w:r w:rsidR="00021F0F">
              <w:rPr>
                <w:rFonts w:ascii="Segoe UI Semibold" w:hAnsi="Segoe UI Semibold" w:cs="Segoe UI Semibold"/>
              </w:rPr>
              <w:t xml:space="preserve"> </w:t>
            </w:r>
            <w:r w:rsidR="00021F0F" w:rsidRPr="00021F0F">
              <w:rPr>
                <w:rFonts w:ascii="Segoe UI Semilight" w:hAnsi="Segoe UI Semilight" w:cs="Segoe UI Semilight"/>
                <w:i/>
                <w:iCs/>
                <w:sz w:val="18"/>
                <w:szCs w:val="18"/>
              </w:rPr>
              <w:t>(LEA Superintendent)</w:t>
            </w:r>
            <w:r w:rsidRPr="00971DF6">
              <w:rPr>
                <w:rFonts w:ascii="Segoe UI Semibold" w:hAnsi="Segoe UI Semibold" w:cs="Segoe UI Semibold"/>
              </w:rPr>
              <w:t>:</w:t>
            </w:r>
          </w:p>
          <w:p w14:paraId="5A9C5393" w14:textId="77777777" w:rsidR="001B63D0" w:rsidRPr="00971DF6" w:rsidRDefault="001B63D0" w:rsidP="00D76250">
            <w:pPr>
              <w:spacing w:before="240"/>
              <w:rPr>
                <w:rFonts w:ascii="Segoe UI Semibold" w:hAnsi="Segoe UI Semibold" w:cs="Segoe UI Semibold"/>
              </w:rPr>
            </w:pPr>
          </w:p>
        </w:tc>
        <w:tc>
          <w:tcPr>
            <w:tcW w:w="3145" w:type="dxa"/>
            <w:tcBorders>
              <w:bottom w:val="single" w:sz="12" w:space="0" w:color="auto"/>
              <w:right w:val="single" w:sz="12" w:space="0" w:color="auto"/>
            </w:tcBorders>
          </w:tcPr>
          <w:p w14:paraId="6D6CF602" w14:textId="77777777" w:rsidR="001B63D0" w:rsidRDefault="001B63D0" w:rsidP="00291118">
            <w:pPr>
              <w:rPr>
                <w:rFonts w:ascii="Segoe UI Semibold" w:hAnsi="Segoe UI Semibold" w:cs="Segoe UI Semibold"/>
              </w:rPr>
            </w:pPr>
            <w:r w:rsidRPr="00971DF6">
              <w:rPr>
                <w:rFonts w:ascii="Segoe UI Semibold" w:hAnsi="Segoe UI Semibold" w:cs="Segoe UI Semibold"/>
              </w:rPr>
              <w:t>Date:</w:t>
            </w:r>
          </w:p>
          <w:p w14:paraId="3A3F08D7" w14:textId="3A947C2F" w:rsidR="00D76250" w:rsidRPr="00971DF6" w:rsidRDefault="00D76250" w:rsidP="00D76250">
            <w:pPr>
              <w:spacing w:before="240"/>
              <w:rPr>
                <w:rFonts w:ascii="Segoe UI Semibold" w:hAnsi="Segoe UI Semibold" w:cs="Segoe UI Semibold"/>
              </w:rPr>
            </w:pPr>
          </w:p>
        </w:tc>
      </w:tr>
    </w:tbl>
    <w:p w14:paraId="3F2A097A" w14:textId="2B6885CF" w:rsidR="001B63D0" w:rsidRPr="001B63D0" w:rsidRDefault="001B63D0" w:rsidP="00BA4045">
      <w:pPr>
        <w:pStyle w:val="Heading1"/>
        <w:jc w:val="center"/>
      </w:pPr>
      <w:r>
        <w:t>Submit Emergency Waiver Request to</w:t>
      </w:r>
      <w:r w:rsidRPr="00BF10E3">
        <w:t xml:space="preserve"> OSPI </w:t>
      </w:r>
      <w:r w:rsidR="00BA4045">
        <w:t xml:space="preserve">  </w:t>
      </w:r>
      <w:r w:rsidRPr="00BF10E3">
        <w:t xml:space="preserve"> </w:t>
      </w:r>
      <w:hyperlink r:id="rId16" w:history="1">
        <w:r w:rsidRPr="00772296">
          <w:rPr>
            <w:rStyle w:val="Hyperlink"/>
            <w:color w:val="0D5761" w:themeColor="accent2"/>
          </w:rPr>
          <w:t>waivers@k12.wa.us</w:t>
        </w:r>
      </w:hyperlink>
    </w:p>
    <w:p w14:paraId="40E33854" w14:textId="5AA08A83" w:rsidR="001B63D0" w:rsidRDefault="001B63D0">
      <w:pPr>
        <w:spacing w:after="160" w:line="259" w:lineRule="auto"/>
      </w:pPr>
      <w:r>
        <w:br w:type="page"/>
      </w:r>
    </w:p>
    <w:p w14:paraId="094C669F" w14:textId="4D79918C" w:rsidR="001B63D0" w:rsidRDefault="001B63D0" w:rsidP="001B63D0">
      <w:pPr>
        <w:pStyle w:val="Heading1"/>
      </w:pPr>
      <w:r w:rsidRPr="00F24A7D">
        <w:lastRenderedPageBreak/>
        <w:t>Emergency School Closure</w:t>
      </w:r>
      <w:r w:rsidR="004E5A1B" w:rsidRPr="00F24A7D">
        <w:t xml:space="preserve"> Waiver</w:t>
      </w:r>
      <w:r w:rsidRPr="00F24A7D">
        <w:t xml:space="preserve"> Frequently Asked Questions</w:t>
      </w:r>
    </w:p>
    <w:p w14:paraId="53098594" w14:textId="77777777" w:rsidR="001B63D0" w:rsidRDefault="001B63D0" w:rsidP="001B63D0"/>
    <w:p w14:paraId="49F42C27" w14:textId="757FE308" w:rsidR="00AE483F" w:rsidRDefault="00AE483F" w:rsidP="001B63D0">
      <w:pPr>
        <w:pStyle w:val="Heading2"/>
      </w:pPr>
      <w:r>
        <w:t>How many days does the LEA need to make-up?</w:t>
      </w:r>
    </w:p>
    <w:p w14:paraId="1A4467C0" w14:textId="014F549E" w:rsidR="00AE483F" w:rsidRDefault="00AE483F" w:rsidP="00AE483F">
      <w:r>
        <w:t>The LEA must make a reasonable effort to make-up the missed school days.  At a minimum, the district must make-up at least three school days.  Make-up days can include the use of scheduled vacation days or other previously planned school closure days.  Make-up days can include the extension of the school year to and/or through June 14.</w:t>
      </w:r>
      <w:r w:rsidR="00F6559C">
        <w:t xml:space="preserve">  However, i</w:t>
      </w:r>
      <w:r>
        <w:t xml:space="preserve">f a state of emergency proclamation is issued by the governor, </w:t>
      </w:r>
      <w:r w:rsidRPr="00AE483F">
        <w:t>LEAs may meet the "reasonable effort" test by providing at least the district-wide annual average total instruction hour offerings.</w:t>
      </w:r>
    </w:p>
    <w:p w14:paraId="313DAE40" w14:textId="77777777" w:rsidR="00AE483F" w:rsidRPr="00AE483F" w:rsidRDefault="00AE483F" w:rsidP="00AE483F"/>
    <w:p w14:paraId="2F5651DD" w14:textId="1CF04E2F" w:rsidR="001B63D0" w:rsidRDefault="001B63D0" w:rsidP="00F6559C">
      <w:pPr>
        <w:pStyle w:val="Heading2"/>
        <w:spacing w:before="0"/>
      </w:pPr>
      <w:r>
        <w:t>Is there a deadline for requesting a waiver?</w:t>
      </w:r>
    </w:p>
    <w:p w14:paraId="1D8F4F9F" w14:textId="79FAA63C" w:rsidR="001B63D0" w:rsidRDefault="001B63D0" w:rsidP="001B63D0">
      <w:r>
        <w:t xml:space="preserve">No. However, </w:t>
      </w:r>
      <w:r w:rsidR="004A1717">
        <w:t>LEAs</w:t>
      </w:r>
      <w:r>
        <w:t xml:space="preserve"> should apply with enough time to make scheduling adjustments accordingly (if necessary).</w:t>
      </w:r>
      <w:r w:rsidR="004A1717">
        <w:t xml:space="preserve">  In the event of multiple emergencies in a school year, such as a fall flood and a winter blizzard, the LEA may submit one cumulative emergency waiver request.</w:t>
      </w:r>
    </w:p>
    <w:p w14:paraId="1DEE536A" w14:textId="77777777" w:rsidR="001B63D0" w:rsidRDefault="001B63D0" w:rsidP="001B63D0"/>
    <w:p w14:paraId="5B02DC61" w14:textId="77777777" w:rsidR="001B63D0" w:rsidRDefault="001B63D0" w:rsidP="00F6559C">
      <w:pPr>
        <w:pStyle w:val="Heading2"/>
        <w:spacing w:before="0"/>
      </w:pPr>
      <w:r>
        <w:t>Is there a date in statute past which school cannot be held?</w:t>
      </w:r>
    </w:p>
    <w:p w14:paraId="17CD4B09" w14:textId="0099C3E6" w:rsidR="001B63D0" w:rsidRDefault="001B63D0" w:rsidP="001B63D0">
      <w:r>
        <w:t xml:space="preserve">No. If </w:t>
      </w:r>
      <w:r w:rsidR="004A1717">
        <w:t>LEAs</w:t>
      </w:r>
      <w:r>
        <w:t xml:space="preserve"> need to hold school into July to meet the requirement for minimum average annual hours of instruction, nothing </w:t>
      </w:r>
      <w:r w:rsidR="004A1717">
        <w:t xml:space="preserve">in statute </w:t>
      </w:r>
      <w:r>
        <w:t>prohibits that from occurring.</w:t>
      </w:r>
    </w:p>
    <w:p w14:paraId="39C44AEC" w14:textId="77777777" w:rsidR="001B63D0" w:rsidRDefault="001B63D0" w:rsidP="001B63D0"/>
    <w:p w14:paraId="3A7B117B" w14:textId="77777777" w:rsidR="001B63D0" w:rsidRDefault="001B63D0" w:rsidP="00F6559C">
      <w:pPr>
        <w:pStyle w:val="Heading2"/>
        <w:spacing w:before="0"/>
      </w:pPr>
      <w:r>
        <w:t>Can late start or early release be counted as instructional time?</w:t>
      </w:r>
    </w:p>
    <w:p w14:paraId="1E5A7C0B" w14:textId="77777777" w:rsidR="001B63D0" w:rsidRDefault="001B63D0" w:rsidP="001B63D0">
      <w:r>
        <w:t>No. Regularly scheduled late start/early release hours are not counted as instructional hours.</w:t>
      </w:r>
    </w:p>
    <w:p w14:paraId="10557C1A" w14:textId="760E6CCB" w:rsidR="001B63D0" w:rsidRDefault="001B63D0" w:rsidP="001B63D0"/>
    <w:p w14:paraId="56EAC6D2" w14:textId="77777777" w:rsidR="00F6559C" w:rsidRDefault="00F6559C" w:rsidP="00F6559C">
      <w:pPr>
        <w:pStyle w:val="Heading2"/>
        <w:spacing w:before="0"/>
      </w:pPr>
      <w:r>
        <w:t>Does a school board resolution need to be submitted?</w:t>
      </w:r>
    </w:p>
    <w:p w14:paraId="07DA3B90" w14:textId="49A0D7D3" w:rsidR="00F6559C" w:rsidRDefault="00F6559C" w:rsidP="00F6559C">
      <w:r>
        <w:t xml:space="preserve">No.  However, the LEA </w:t>
      </w:r>
      <w:r w:rsidRPr="004E5A1B">
        <w:t xml:space="preserve">board of directors (governing body) </w:t>
      </w:r>
      <w:r>
        <w:t xml:space="preserve">must review </w:t>
      </w:r>
      <w:r w:rsidRPr="004E5A1B">
        <w:t xml:space="preserve">the Emergency School Closure Waiver </w:t>
      </w:r>
      <w:r w:rsidR="004A1717">
        <w:t>request</w:t>
      </w:r>
      <w:r w:rsidRPr="004E5A1B">
        <w:t xml:space="preserve"> and support its submittal.  </w:t>
      </w:r>
    </w:p>
    <w:p w14:paraId="2270A807" w14:textId="77777777" w:rsidR="00F6559C" w:rsidRDefault="00F6559C" w:rsidP="001B63D0"/>
    <w:p w14:paraId="3A86BD93" w14:textId="77777777" w:rsidR="001B63D0" w:rsidRDefault="001B63D0" w:rsidP="00F6559C">
      <w:pPr>
        <w:pStyle w:val="Heading2"/>
        <w:spacing w:before="0"/>
      </w:pPr>
      <w:r>
        <w:t>Unforeseen emergencies include:</w:t>
      </w:r>
    </w:p>
    <w:p w14:paraId="5E2378DB" w14:textId="47DF00EB" w:rsidR="001B63D0" w:rsidRDefault="004E5A1B" w:rsidP="001B63D0">
      <w:pPr>
        <w:pStyle w:val="ListParagraph"/>
        <w:numPr>
          <w:ilvl w:val="0"/>
          <w:numId w:val="3"/>
        </w:numPr>
      </w:pPr>
      <w:r>
        <w:t>N</w:t>
      </w:r>
      <w:r w:rsidR="001B63D0">
        <w:t>atural events (such as fire, flood, explosion, storm, earthquake, epidemic, or volcanic eruption)</w:t>
      </w:r>
    </w:p>
    <w:p w14:paraId="11E05C34" w14:textId="2ECC1A6E" w:rsidR="001B63D0" w:rsidRDefault="004E5A1B" w:rsidP="001B63D0">
      <w:pPr>
        <w:pStyle w:val="ListParagraph"/>
        <w:numPr>
          <w:ilvl w:val="0"/>
          <w:numId w:val="3"/>
        </w:numPr>
      </w:pPr>
      <w:r>
        <w:t>M</w:t>
      </w:r>
      <w:r w:rsidR="001B63D0">
        <w:t>echanical failures (disruption of utilities such as heating, lighting, or water)</w:t>
      </w:r>
    </w:p>
    <w:p w14:paraId="673DE6EB" w14:textId="1F96BB2B" w:rsidR="001B63D0" w:rsidRDefault="004E5A1B" w:rsidP="001B63D0">
      <w:pPr>
        <w:pStyle w:val="ListParagraph"/>
        <w:numPr>
          <w:ilvl w:val="0"/>
          <w:numId w:val="3"/>
        </w:numPr>
      </w:pPr>
      <w:r>
        <w:t>A</w:t>
      </w:r>
      <w:r w:rsidR="001B63D0">
        <w:t>ction or inaction by one or more persons (including arson, vandalism, riots, insurrections, bomb threats, bombing)</w:t>
      </w:r>
    </w:p>
    <w:p w14:paraId="4CD0AFC5" w14:textId="68E5E10E" w:rsidR="001B63D0" w:rsidRDefault="004E5A1B" w:rsidP="001B63D0">
      <w:pPr>
        <w:pStyle w:val="ListParagraph"/>
        <w:numPr>
          <w:ilvl w:val="0"/>
          <w:numId w:val="3"/>
        </w:numPr>
      </w:pPr>
      <w:r>
        <w:t>C</w:t>
      </w:r>
      <w:r w:rsidR="001B63D0">
        <w:t xml:space="preserve">ertain unforeseeable construction delays  </w:t>
      </w:r>
    </w:p>
    <w:p w14:paraId="7CF3EFB4" w14:textId="77777777" w:rsidR="001B63D0" w:rsidRDefault="001B63D0" w:rsidP="001B63D0"/>
    <w:p w14:paraId="353FD61C" w14:textId="77777777" w:rsidR="001B63D0" w:rsidRDefault="001B63D0" w:rsidP="00F6559C">
      <w:pPr>
        <w:pStyle w:val="Heading2"/>
        <w:spacing w:before="0"/>
      </w:pPr>
      <w:r>
        <w:t>School closure emergencies do not include:</w:t>
      </w:r>
    </w:p>
    <w:p w14:paraId="6D05C49D" w14:textId="77777777" w:rsidR="001B63D0" w:rsidRDefault="001B63D0" w:rsidP="001B63D0">
      <w:pPr>
        <w:pStyle w:val="ListParagraph"/>
        <w:numPr>
          <w:ilvl w:val="0"/>
          <w:numId w:val="4"/>
        </w:numPr>
      </w:pPr>
      <w:r>
        <w:t xml:space="preserve">Labor dispute between an LEA governing body and any employee of the school district.  </w:t>
      </w:r>
    </w:p>
    <w:p w14:paraId="1154B014" w14:textId="0E93D4BB" w:rsidR="001B63D0" w:rsidRDefault="001B63D0" w:rsidP="001B63D0">
      <w:pPr>
        <w:pStyle w:val="ListParagraph"/>
        <w:numPr>
          <w:ilvl w:val="0"/>
          <w:numId w:val="4"/>
        </w:numPr>
      </w:pPr>
      <w:r>
        <w:t>Construction delays that are foreseeable and reasonably anticipated (as defined 28A.150.290) do not qualify as an emergency for the purposes of a waiver.</w:t>
      </w:r>
    </w:p>
    <w:p w14:paraId="730B83A5" w14:textId="77777777" w:rsidR="004E5A1B" w:rsidRDefault="004E5A1B" w:rsidP="001B63D0"/>
    <w:p w14:paraId="6065EC41" w14:textId="59FF7B5A" w:rsidR="00F6559C" w:rsidRDefault="00F6559C" w:rsidP="00F6559C">
      <w:pPr>
        <w:pStyle w:val="Heading2"/>
        <w:spacing w:before="0"/>
      </w:pPr>
      <w:r>
        <w:t>Laws and rules for emergency school closures:</w:t>
      </w:r>
    </w:p>
    <w:p w14:paraId="126CE06A" w14:textId="55F7C068" w:rsidR="004E5A1B" w:rsidRDefault="001B63D0">
      <w:r>
        <w:t>RCW 28A.150.290 and chapter 392-129 WAC</w:t>
      </w:r>
    </w:p>
    <w:sectPr w:rsidR="004E5A1B"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719F" w14:textId="77777777" w:rsidR="002D76AC" w:rsidRDefault="002D76AC" w:rsidP="006059B4">
      <w:r>
        <w:separator/>
      </w:r>
    </w:p>
  </w:endnote>
  <w:endnote w:type="continuationSeparator" w:id="0">
    <w:p w14:paraId="28B06E32" w14:textId="77777777" w:rsidR="002D76AC" w:rsidRDefault="002D76AC" w:rsidP="0060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17CE" w14:textId="6C862C40" w:rsidR="00AC3EDD" w:rsidRDefault="00AC3EDD" w:rsidP="0015228C">
    <w:pPr>
      <w:pStyle w:val="Footer"/>
      <w:jc w:val="right"/>
    </w:pPr>
    <w:r>
      <w:t xml:space="preserve"> </w:t>
    </w:r>
    <w:r w:rsidR="001B63D0">
      <w:rPr>
        <w:noProof/>
        <w:lang w:bidi="pa-IN"/>
      </w:rPr>
      <w:drawing>
        <wp:inline distT="0" distB="0" distL="0" distR="0" wp14:anchorId="725C9087" wp14:editId="64217FDB">
          <wp:extent cx="2716637" cy="448056"/>
          <wp:effectExtent l="0" t="0" r="0" b="9525"/>
          <wp:docPr id="5" name="Picture 5"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BAA9" w14:textId="23271E05" w:rsidR="00AC3EDD" w:rsidRDefault="001B63D0" w:rsidP="001B63D0">
    <w:pPr>
      <w:pStyle w:val="Footer"/>
      <w:tabs>
        <w:tab w:val="left" w:pos="1020"/>
        <w:tab w:val="right" w:pos="10800"/>
      </w:tabs>
      <w:jc w:val="right"/>
    </w:pPr>
    <w:r>
      <w:tab/>
    </w:r>
    <w:r>
      <w:tab/>
    </w:r>
    <w:r>
      <w:tab/>
    </w:r>
    <w:r w:rsidR="001E79F9">
      <w:rPr>
        <w:noProof/>
        <w:lang w:bidi="pa-IN"/>
      </w:rPr>
      <w:drawing>
        <wp:inline distT="0" distB="0" distL="0" distR="0" wp14:anchorId="0A645A70" wp14:editId="46EE434B">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D3B1" w14:textId="77777777" w:rsidR="002D76AC" w:rsidRDefault="002D76AC" w:rsidP="006059B4">
      <w:bookmarkStart w:id="0" w:name="_Hlk55290711"/>
      <w:bookmarkEnd w:id="0"/>
      <w:r>
        <w:separator/>
      </w:r>
    </w:p>
  </w:footnote>
  <w:footnote w:type="continuationSeparator" w:id="0">
    <w:p w14:paraId="0743A7F7" w14:textId="77777777" w:rsidR="002D76AC" w:rsidRDefault="002D76AC" w:rsidP="0060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783E" w14:textId="77777777" w:rsidR="00FD288B" w:rsidRDefault="00702C49">
    <w:pPr>
      <w:pStyle w:val="Header"/>
    </w:pPr>
    <w:r>
      <w:rPr>
        <w:noProof/>
        <w:lang w:bidi="pa-IN"/>
      </w:rPr>
      <w:pict w14:anchorId="73D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8131"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14EE776D" wp14:editId="1B684679">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5E44E"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r0LQMAAJIKAAAOAAAAZHJzL2Uyb0RvYy54bWzsVl1P2zAUfZ+0/2D5faQJlEJEiioYaBIa&#10;CJh4No6TWHJsz3abdr9+13YSOgo8MGnSJPrg+tr3y8f3XOfkdN0KtGLGciULnO5NMGKSqpLLusA/&#10;7i++HGFkHZElEUqyAm+Yxafzz59OOp2zTDVKlMwgcCJt3ukCN87pPEksbVhL7J7STMJmpUxLHIim&#10;TkpDOvDeiiSbTA6TTplSG0WZtbB6HjfxPPivKkbddVVZ5pAoMOTmwmjC+OjHZH5C8toQ3XDap0He&#10;kUVLuISgo6tz4ghaGr7jquXUKKsqt0dVm6iq4pSFM8Bp0smz01watdThLHXe1XqECaB9htO73dLv&#10;qxuDeFngfYwkaeGKQlQEouNOgHzOqDLE8RVDV1wyD1mn6xwsL42+0zemX6ij5FFYV6b1/3A+tA5g&#10;b0aw2dohCovTNJ1NoDoobGVHs+PDbD/eBm3gynbMaPP1bcNkCJv47MZkOg2FZZ+ws3+H3V1DNAtX&#10;Yj0CPXbpgN31igiURoiCwoiPzS1A9So42f7h7DidRgRegqiHC7AeD0pybay7ZKpFflJgJgTX1qdH&#10;crK6si5qD1p+WUg/SnXBhYi7fgUgG/ILM7cRLGrfsgqqA64rC14DL9mZMAgOWmBCKZMujVsNKVlc&#10;nk7g548CqY4WQRISHHrPFcQfffcOPOd3fUc3vb43ZYHWo/HkrcSi8WgRIivpRuOWS2VeciDgVH3k&#10;qD+AFKHxKD2qcgP3b1RsKlbTCw7XcEWsuyEGugj0G+iM7hqGSqiuwKqfYdQo8+ulda8PBQq7GHXQ&#10;lQpsfy6JYRiJbxJK9zg9OPBtLAgH01kGgtneedzekcv2TME1QXlCdmHq9Z0YppVR7QM00IWPCltE&#10;UohdYOrMIJy52C2hBVO2WAQ1aF2auCt5p6l37lH1NXa/fiBG97XooIi/q4EuO/UYdb2lVIulUxUP&#10;xfqEa483UNe3m3/A4Wzg8C08GkTWgqHsHUTun5QtCqezad/loMWlR4Hjr3PYQPSA6CsEtkrw0rPX&#10;YzeS60869szb1vzgffXB+/+N9+Elhw+f8HT0H2n+y2pbDn3i6VNy/hsAAP//AwBQSwMEFAAGAAgA&#10;AAAhAOfEPFHfAAAACQEAAA8AAABkcnMvZG93bnJldi54bWxMj0FLw0AQhe+C/2EZwVu72bRVidmU&#10;UtRTEWwF8bbNTpPQ7GzIbpP03zue9DTzeI833+TrybViwD40njSoeQICqfS2oUrD5+F19gQiREPW&#10;tJ5QwxUDrIvbm9xk1o/0gcM+VoJLKGRGQx1jl0kZyhqdCXPfIbF38r0zkWVfSdubkctdK9MkeZDO&#10;NMQXatPhtsbyvL84DW+jGTcL9TLszqft9fuwev/aKdT6/m7aPIOIOMW/MPziMzoUzHT0F7JBtBpm&#10;i0dGj7ykCgQHlinrI8+VWoIscvn/g+IHAAD//wMAUEsBAi0AFAAGAAgAAAAhALaDOJL+AAAA4QEA&#10;ABMAAAAAAAAAAAAAAAAAAAAAAFtDb250ZW50X1R5cGVzXS54bWxQSwECLQAUAAYACAAAACEAOP0h&#10;/9YAAACUAQAACwAAAAAAAAAAAAAAAAAvAQAAX3JlbHMvLnJlbHNQSwECLQAUAAYACAAAACEAjrXK&#10;9C0DAACSCgAADgAAAAAAAAAAAAAAAAAuAgAAZHJzL2Uyb0RvYy54bWxQSwECLQAUAAYACAAAACEA&#10;58Q8Ud8AAAAJAQAADwAAAAAAAAAAAAAAAACHBQAAZHJzL2Rvd25yZXYueG1sUEsFBgAAAAAEAAQA&#10;8wAAAJM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4700"/>
    <w:multiLevelType w:val="hybridMultilevel"/>
    <w:tmpl w:val="2F86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40BB7"/>
    <w:multiLevelType w:val="hybridMultilevel"/>
    <w:tmpl w:val="15C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7E0"/>
    <w:multiLevelType w:val="hybridMultilevel"/>
    <w:tmpl w:val="CC4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5C"/>
    <w:rsid w:val="00021F0F"/>
    <w:rsid w:val="000E2A56"/>
    <w:rsid w:val="000E4F2D"/>
    <w:rsid w:val="0015228C"/>
    <w:rsid w:val="001B3CE7"/>
    <w:rsid w:val="001B63D0"/>
    <w:rsid w:val="001E79F9"/>
    <w:rsid w:val="002852A6"/>
    <w:rsid w:val="00295638"/>
    <w:rsid w:val="002D4376"/>
    <w:rsid w:val="002D76AC"/>
    <w:rsid w:val="002F0789"/>
    <w:rsid w:val="00320CA2"/>
    <w:rsid w:val="003B1F5C"/>
    <w:rsid w:val="003C629B"/>
    <w:rsid w:val="0047734A"/>
    <w:rsid w:val="004A1717"/>
    <w:rsid w:val="004C5638"/>
    <w:rsid w:val="004E5A1B"/>
    <w:rsid w:val="00535A83"/>
    <w:rsid w:val="005423A8"/>
    <w:rsid w:val="0056450F"/>
    <w:rsid w:val="005C0DA9"/>
    <w:rsid w:val="005E161F"/>
    <w:rsid w:val="005F2353"/>
    <w:rsid w:val="006059B4"/>
    <w:rsid w:val="006C21D2"/>
    <w:rsid w:val="006F7DC2"/>
    <w:rsid w:val="00702C49"/>
    <w:rsid w:val="00707995"/>
    <w:rsid w:val="00747C3D"/>
    <w:rsid w:val="00772296"/>
    <w:rsid w:val="00817A47"/>
    <w:rsid w:val="00872737"/>
    <w:rsid w:val="0087332D"/>
    <w:rsid w:val="00882EE4"/>
    <w:rsid w:val="008872A5"/>
    <w:rsid w:val="008B3783"/>
    <w:rsid w:val="008F7C5D"/>
    <w:rsid w:val="00980257"/>
    <w:rsid w:val="00987479"/>
    <w:rsid w:val="009B45A4"/>
    <w:rsid w:val="009D4005"/>
    <w:rsid w:val="009F3874"/>
    <w:rsid w:val="00A570A7"/>
    <w:rsid w:val="00A90134"/>
    <w:rsid w:val="00AC3EDD"/>
    <w:rsid w:val="00AC6CB8"/>
    <w:rsid w:val="00AE483F"/>
    <w:rsid w:val="00B71EC4"/>
    <w:rsid w:val="00BA4045"/>
    <w:rsid w:val="00C1423F"/>
    <w:rsid w:val="00CD6969"/>
    <w:rsid w:val="00D376FE"/>
    <w:rsid w:val="00D7164C"/>
    <w:rsid w:val="00D76250"/>
    <w:rsid w:val="00DA473A"/>
    <w:rsid w:val="00DC4BF4"/>
    <w:rsid w:val="00DF08C4"/>
    <w:rsid w:val="00ED3399"/>
    <w:rsid w:val="00EE4BC6"/>
    <w:rsid w:val="00F24A7D"/>
    <w:rsid w:val="00F3071D"/>
    <w:rsid w:val="00F6559C"/>
    <w:rsid w:val="00F82C08"/>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D27305"/>
  <w14:defaultImageDpi w14:val="96"/>
  <w15:chartTrackingRefBased/>
  <w15:docId w15:val="{7C6BB75F-8DE0-470F-8E63-2DA084B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A8"/>
    <w:pPr>
      <w:spacing w:after="0" w:line="240" w:lineRule="auto"/>
    </w:pPr>
    <w:rPr>
      <w:rFonts w:cstheme="minorBidi"/>
    </w:rPr>
  </w:style>
  <w:style w:type="paragraph" w:styleId="Heading1">
    <w:name w:val="heading 1"/>
    <w:basedOn w:val="Normal"/>
    <w:next w:val="Normal"/>
    <w:link w:val="Heading1Char"/>
    <w:uiPriority w:val="9"/>
    <w:qFormat/>
    <w:rsid w:val="00A90134"/>
    <w:pPr>
      <w:keepNext/>
      <w:keepLines/>
      <w:spacing w:before="24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1B63D0"/>
    <w:rPr>
      <w:color w:val="68829E" w:themeColor="hyperlink"/>
      <w:u w:val="single"/>
    </w:rPr>
  </w:style>
  <w:style w:type="table" w:styleId="TableGrid">
    <w:name w:val="Table Grid"/>
    <w:basedOn w:val="TableNormal"/>
    <w:uiPriority w:val="39"/>
    <w:rsid w:val="001B63D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3D0"/>
    <w:rPr>
      <w:color w:val="808080"/>
    </w:rPr>
  </w:style>
  <w:style w:type="character" w:customStyle="1" w:styleId="Style12pt">
    <w:name w:val="Style12pt"/>
    <w:basedOn w:val="DefaultParagraphFont"/>
    <w:uiPriority w:val="1"/>
    <w:rsid w:val="005C0DA9"/>
    <w:rPr>
      <w:rFonts w:ascii="Arial" w:hAnsi="Arial"/>
      <w:color w:val="auto"/>
      <w:sz w:val="24"/>
    </w:rPr>
  </w:style>
  <w:style w:type="character" w:customStyle="1" w:styleId="Style10pt">
    <w:name w:val="Style10pt"/>
    <w:basedOn w:val="DefaultParagraphFont"/>
    <w:uiPriority w:val="1"/>
    <w:rsid w:val="005C0DA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ivers@k12.w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aivers@k12.w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murphy\Download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3f1f7eb18bc54bd3b8e203de3f673c2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1bb27487b80ffa882ca4550970a0cd"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local Agreement"/>
          <xsd:enumeration value="Interstate Agreement"/>
          <xsd:enumeration value="IT"/>
          <xsd:enumeration value="IT Position"/>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2.xml><?xml version="1.0" encoding="utf-8"?>
<ds:datastoreItem xmlns:ds="http://schemas.openxmlformats.org/officeDocument/2006/customXml" ds:itemID="{5562A566-7865-47CC-9835-68077753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3447D6E1-0194-493D-ABC4-B78258A8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Template>
  <TotalTime>146</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Kristin Murphy</dc:creator>
  <cp:keywords/>
  <dc:description/>
  <cp:lastModifiedBy>Kristin Murphy</cp:lastModifiedBy>
  <cp:revision>22</cp:revision>
  <cp:lastPrinted>2020-08-20T18:12:00Z</cp:lastPrinted>
  <dcterms:created xsi:type="dcterms:W3CDTF">2020-11-03T18:27:00Z</dcterms:created>
  <dcterms:modified xsi:type="dcterms:W3CDTF">2020-12-29T17:45:00Z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