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uk"/>
          <w:b w:val="0"/>
          <w:bCs w:val="0"/>
          <w:i w:val="0"/>
          <w:iCs w:val="0"/>
          <w:u w:val="none"/>
          <w:vertAlign w:val="baseline"/>
          <w:rtl w:val="0"/>
        </w:rPr>
        <w:t xml:space="preserve">Наші школи захищають учнів від домагання, залякування та цькування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uk"/>
          <w:b w:val="0"/>
          <w:bCs w:val="0"/>
          <w:i w:val="0"/>
          <w:iCs w:val="0"/>
          <w:u w:val="none"/>
          <w:vertAlign w:val="baseline"/>
          <w:rtl w:val="0"/>
        </w:rPr>
        <w:t xml:space="preserve">Школа повинна бути безпечним місцем, де враховуються індивідуальні особливості учнів і де вони захищені від домагання, залякування та цькування (Harassment, Intimidation, and Bullying, HIB) — у класі, шкільному автобусі, на спортивному майданчику та під час інших занять у школі. У цьому розділі визначаються поняття домагання, залякування та цькування (HIB), пояснюється, що робити, якщо виникає така ситуація, а також зазначається, які заходи вживає школа в разі їх виникнення.</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таке домагання, залякування та цькування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Домагання, залякування та цькування (HIB) — це умисна фізична, вербальна дія учня чи учениці або дія, виражена в письмовій або електронній формі, яка:</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фізично шкодить іншим учням або їхньому майну;</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суттєво впливає на процес навчання іншого учня/учениці;</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є такою жорсткою, настирливою та значною, що створює залякуюче або загрозливе освітнє середовище для інших учнів/учениць.</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Зазвичай домагання, залякування та цькування (HIB) пов’язані з явним постійним порушенням балансу сили, вони повторюються багато разів або є висока вірогідність повторення таких дій. У наших школах домагання, залякування та цькування (HIB) заборонені законом.</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Як я можу повідомити про домагання, залякування та цькування (HIB) або поскаржитися на ці дії?</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Поговоріть із кимось із працівників школи</w:t>
      </w:r>
      <w:r>
        <w:rPr>
          <w:rFonts w:eastAsia="Calibri"/>
          <w:kern w:val="2"/>
          <w:sz w:val="20"/>
          <w:szCs w:val="20"/>
          <w14:ligatures w14:val="standardContextual"/>
          <w:lang w:val="uk"/>
          <w:b w:val="0"/>
          <w:bCs w:val="0"/>
          <w:i w:val="0"/>
          <w:iCs w:val="0"/>
          <w:u w:val="none"/>
          <w:vertAlign w:val="baseline"/>
          <w:rtl w:val="0"/>
        </w:rPr>
        <w:t xml:space="preserve"> (почніть із того, з ким вам найкомфортніше спілкуватися). Поділитися побоюваннями щодо домагання, залякування та цькування (HIB) можна через форму школи округу (</w:t>
      </w:r>
      <w:r>
        <w:rPr>
          <w:rFonts w:eastAsia="Calibri"/>
          <w:color w:val="C00000"/>
          <w:kern w:val="2"/>
          <w:sz w:val="20"/>
          <w:szCs w:val="20"/>
          <w14:ligatures w14:val="standardContextual"/>
          <w:lang w:val="uk"/>
          <w:b w:val="0"/>
          <w:bCs w:val="0"/>
          <w:i w:val="0"/>
          <w:iCs w:val="0"/>
          <w:u w:val="none"/>
          <w:vertAlign w:val="baseline"/>
          <w:rtl w:val="0"/>
        </w:rPr>
        <w:t xml:space="preserve">посилання на форму</w:t>
      </w:r>
      <w:r>
        <w:rPr>
          <w:rFonts w:eastAsia="Calibri"/>
          <w:kern w:val="2"/>
          <w:sz w:val="20"/>
          <w:szCs w:val="20"/>
          <w14:ligatures w14:val="standardContextual"/>
          <w:lang w:val="uk"/>
          <w:b w:val="0"/>
          <w:bCs w:val="0"/>
          <w:i w:val="0"/>
          <w:iCs w:val="0"/>
          <w:u w:val="none"/>
          <w:vertAlign w:val="baseline"/>
          <w:rtl w:val="0"/>
        </w:rPr>
        <w:t xml:space="preserve">), а також повідомити про випадки домагання, залякування та цькування можна і в письмовій, і в усній формі. Ви можете надіслати анонімне повідомлення, якщо не бажаєте розкривати свою особу або не хочете, щоб про це повідомлення дізнались інші учні, які мають до нього стосунок. На підставі </w:t>
      </w:r>
      <w:r>
        <w:rPr>
          <w:rFonts w:eastAsia="Calibri"/>
          <w:kern w:val="2"/>
          <w:sz w:val="20"/>
          <w:szCs w:val="20"/>
          <w14:ligatures w14:val="standardContextual"/>
          <w:lang w:val="uk"/>
          <w:b w:val="1"/>
          <w:bCs w:val="1"/>
          <w:i w:val="0"/>
          <w:iCs w:val="0"/>
          <w:u w:val="none"/>
          <w:vertAlign w:val="baseline"/>
          <w:rtl w:val="0"/>
        </w:rPr>
        <w:t xml:space="preserve">лише</w:t>
      </w:r>
      <w:r>
        <w:rPr>
          <w:rFonts w:eastAsia="Calibri"/>
          <w:kern w:val="2"/>
          <w:sz w:val="20"/>
          <w:szCs w:val="20"/>
          <w14:ligatures w14:val="standardContextual"/>
          <w:lang w:val="uk"/>
          <w:b w:val="0"/>
          <w:bCs w:val="0"/>
          <w:i w:val="0"/>
          <w:iCs w:val="0"/>
          <w:u w:val="none"/>
          <w:vertAlign w:val="baseline"/>
          <w:rtl w:val="0"/>
        </w:rPr>
        <w:t xml:space="preserve"> анонімного або конфіденційного повідомлення жодних заходів дисциплінарного впливу проти цих учнів застосовано не буде.</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Якщо працівнику школи повідомили або він помітив, почув про випадок домагання, залякування або цькування (HIB) або іншим чином став свідком такої поведінки, він повинен негайно вжити відповідних заходів, щоб припинити таку поведінку та перешкодити їй у майбутньому. У нашому окрузі також працює спеціаліст із відповідності правовим вимогам у питаннях щодо домагання, залякування та цькування (HIB) (</w:t>
      </w:r>
      <w:r>
        <w:rPr>
          <w:rFonts w:eastAsia="Calibri"/>
          <w:color w:val="C00000"/>
          <w:kern w:val="2"/>
          <w:sz w:val="20"/>
          <w:szCs w:val="20"/>
          <w14:ligatures w14:val="standardContextual"/>
          <w:lang w:val="uk"/>
          <w:b w:val="0"/>
          <w:bCs w:val="0"/>
          <w:i w:val="0"/>
          <w:iCs w:val="0"/>
          <w:u w:val="none"/>
          <w:vertAlign w:val="baseline"/>
          <w:rtl w:val="0"/>
        </w:rPr>
        <w:t xml:space="preserve">ім’я та контактні дані спеціаліста округу</w:t>
      </w:r>
      <w:r>
        <w:rPr>
          <w:rFonts w:eastAsia="Calibri"/>
          <w:kern w:val="2"/>
          <w:sz w:val="20"/>
          <w:szCs w:val="20"/>
          <w14:ligatures w14:val="standardContextual"/>
          <w:lang w:val="uk"/>
          <w:b w:val="0"/>
          <w:bCs w:val="0"/>
          <w:i w:val="0"/>
          <w:iCs w:val="0"/>
          <w:u w:val="none"/>
          <w:vertAlign w:val="baseline"/>
          <w:rtl w:val="0"/>
        </w:rPr>
        <w:t xml:space="preserve">), відповідальний за попередження випадків домагання, залякування та цькування й реагування на них.</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відбувається після того, як я повідомив(-ла) про домагання, залякування або цькування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Якщо ви повідомляєте про домагання, залякування або цькування (HIB), працівники школи повинні вжити заходи, щоб розв’язати цю проблему. Якщо проблему розв’язано, подальші дії можуть бути не потрібні. Але якщо ви відчуваєте, що ви або хтось, кого ви знаєте, є жертвою постійного жорсткого домагання, залякування або цькування (HIB), цю проблему не було розв’язано й вона потребує подальшого розслідування та вжиття заходів, вам потрібно подати запит на проведення офіційного розслідування.</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Школа повинна вжити заходів, щоб не допустити помсти тим, хто повідомляє про домагання, залякування та цькування (HIB).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Яким є процес розслідування?</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Після того як ви надіслали скаргу, спеціаліст із відповідності правовим вимогам у питаннях щодо домагання, залякування та цькування (HIB) або працівник школи, який веде розслідування, повинні повідомити сім’ї учнів/учениць, які мають відношення до скарги, а також повинні негайно організувати ретельне розслідування. Розслідування має бути проведене протягом 5 навчальних днів, окрім випадків, коли ви погодилися на інший термін. Якщо ваша скарга стосується обставин, що потребують тривалішого розслідування, адміністрація округу повідомить вас про очікувану дату їхнього рішення.</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Після завершення розслідування спеціаліст із відповідності правовим вимогам у питаннях щодо домагання, залякування та цькування (HIB) або працівник школи, який веде розслідування, повинні передати вам результати протягом 2 навчальних днів. Ви отримаєте таку інформацію: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звіт за результатами розслідування;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рішення про те, чи підтверджується доказами випадок домагання, залякування або цькування (HIB);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рішення про необхідні коригувальні заходи або заходи захисту;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чіткі інструкції про те, як оскаржити рішення.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Які кроки я можу зробити далі, якщо не погоджуюся з результатом?</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Дії учня або учениці, яких у скарзі визначено постраждалими</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Якщо ви не згодні з рішенням шкільного округу, ви маєте право його оскаржити, додавши будь-яку інформацію до скарги й передавши її директору або особі, яку призначено вести процедуру оскарження, а також шкільній раді.</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Дії учня або учениці, яких у скарзі визначено кривдниками</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Учень або учениця, яких скаргою на домагання, залякування та цькування (HIB) визначено кривдниками, не мають права оскаржувати рішення щодо результатів розслідування таких випадків. Однак, вони можуть оскаржити коригувальні заходи, які були призначені на підставі результатів розслідування.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Докладну інформацію про процес подання скарги на домагання, залякування або цькування (HIB), зокрема про важливі терміни, можна знайти на</w:t>
      </w:r>
      <w:r>
        <w:rPr>
          <w:rFonts w:eastAsia="Calibri"/>
          <w:kern w:val="2"/>
          <w:sz w:val="20"/>
          <w:szCs w:val="20"/>
          <w14:ligatures w14:val="standardContextual"/>
          <w:lang w:val="uk"/>
          <w:b w:val="0"/>
          <w:bCs w:val="0"/>
          <w:i w:val="1"/>
          <w:iCs w:val="1"/>
          <w:u w:val="none"/>
          <w:vertAlign w:val="baseline"/>
          <w:rtl w:val="0"/>
        </w:rPr>
        <w:t xml:space="preserve"> </w:t>
      </w:r>
      <w:r>
        <w:rPr>
          <w:rFonts w:eastAsia="Calibri"/>
          <w:color w:val="C00000"/>
          <w:kern w:val="2"/>
          <w:sz w:val="20"/>
          <w:szCs w:val="20"/>
          <w14:ligatures w14:val="standardContextual"/>
          <w:lang w:val="uk"/>
          <w:b w:val="0"/>
          <w:bCs w:val="0"/>
          <w:i w:val="0"/>
          <w:iCs w:val="0"/>
          <w:u w:val="none"/>
          <w:vertAlign w:val="baseline"/>
          <w:rtl w:val="0"/>
        </w:rPr>
        <w:t xml:space="preserve">вебсайті округу, присвяченому проблемі домагання, залякування та цькування</w:t>
      </w:r>
      <w:r>
        <w:rPr>
          <w:rFonts w:eastAsia="Calibri"/>
          <w:kern w:val="2"/>
          <w:sz w:val="20"/>
          <w:szCs w:val="20"/>
          <w14:ligatures w14:val="standardContextual"/>
          <w:lang w:val="uk"/>
          <w:b w:val="0"/>
          <w:bCs w:val="0"/>
          <w:i w:val="0"/>
          <w:iCs w:val="0"/>
          <w:u w:val="none"/>
          <w:vertAlign w:val="baseline"/>
          <w:rtl w:val="0"/>
        </w:rPr>
        <w:t xml:space="preserve"> або в </w:t>
      </w:r>
      <w:r>
        <w:rPr>
          <w:rFonts w:eastAsia="Calibri"/>
          <w:kern w:val="2"/>
          <w:sz w:val="20"/>
          <w:szCs w:val="20"/>
          <w14:ligatures w14:val="standardContextual"/>
          <w:lang w:val="uk"/>
          <w:b w:val="0"/>
          <w:bCs w:val="0"/>
          <w:i w:val="1"/>
          <w:iCs w:val="1"/>
          <w:u w:val="none"/>
          <w:vertAlign w:val="baseline"/>
          <w:rtl w:val="0"/>
        </w:rPr>
        <w:t xml:space="preserve">Політиці та процедурах щодо домагання, залякування та цькування </w:t>
      </w:r>
      <w:r>
        <w:rPr>
          <w:rFonts w:eastAsia="Calibri"/>
          <w:kern w:val="2"/>
          <w:sz w:val="20"/>
          <w:szCs w:val="20"/>
          <w14:ligatures w14:val="standardContextual"/>
          <w:lang w:val="uk"/>
          <w:b w:val="0"/>
          <w:bCs w:val="0"/>
          <w:i w:val="1"/>
          <w:iCs w:val="1"/>
          <w:u w:val="none"/>
          <w:vertAlign w:val="baseline"/>
          <w:rtl w:val="0"/>
        </w:rPr>
        <w:t xml:space="preserve">[</w:t>
      </w:r>
      <w:r>
        <w:rPr>
          <w:rFonts w:eastAsia="Calibri"/>
          <w:color w:val="C00000"/>
          <w:kern w:val="2"/>
          <w:sz w:val="20"/>
          <w:szCs w:val="20"/>
          <w14:ligatures w14:val="standardContextual"/>
          <w:lang w:val="uk"/>
          <w:b w:val="0"/>
          <w:bCs w:val="0"/>
          <w:i w:val="1"/>
          <w:iCs w:val="1"/>
          <w:u w:val="none"/>
          <w:vertAlign w:val="baseline"/>
          <w:rtl w:val="0"/>
        </w:rPr>
        <w:t xml:space="preserve">розділи 3207 і 3207P</w:t>
      </w:r>
      <w:r>
        <w:rPr>
          <w:rFonts w:eastAsia="Calibri"/>
          <w:kern w:val="2"/>
          <w:sz w:val="20"/>
          <w:szCs w:val="20"/>
          <w14:ligatures w14:val="standardContextual"/>
          <w:lang w:val="uk"/>
          <w:b w:val="0"/>
          <w:bCs w:val="0"/>
          <w:i w:val="1"/>
          <w:iCs w:val="1"/>
          <w:u w:val="none"/>
          <w:vertAlign w:val="baseline"/>
          <w:rtl w:val="0"/>
        </w:rPr>
        <w:t xml:space="preserve">]</w:t>
      </w:r>
      <w:r>
        <w:rPr>
          <w:rFonts w:eastAsia="Calibri"/>
          <w:kern w:val="2"/>
          <w:sz w:val="20"/>
          <w:szCs w:val="20"/>
          <w14:ligatures w14:val="standardContextual"/>
          <w:lang w:val="uk"/>
          <w:b w:val="0"/>
          <w:bCs w:val="0"/>
          <w:i w:val="0"/>
          <w:iCs w:val="0"/>
          <w:u w:val="none"/>
          <w:vertAlign w:val="baseline"/>
          <w:rtl w:val="0"/>
        </w:rPr>
        <w:t xml:space="preserve">.</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uk"/>
          <w:b w:val="0"/>
          <w:bCs w:val="0"/>
          <w:i w:val="0"/>
          <w:iCs w:val="0"/>
          <w:u w:val="none"/>
          <w:vertAlign w:val="baseline"/>
          <w:rtl w:val="0"/>
        </w:rPr>
        <w:t xml:space="preserve">Наша школа протидіє дискримінації</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Дискримінація трапляється, коли до когось ставляться інакше або несправедливо через його/її приналежність до </w:t>
      </w:r>
      <w:r>
        <w:rPr>
          <w:rFonts w:eastAsia="Calibri"/>
          <w:kern w:val="2"/>
          <w:sz w:val="20"/>
          <w:szCs w:val="20"/>
          <w14:ligatures w14:val="standardContextual"/>
          <w:lang w:val="uk"/>
          <w:b w:val="1"/>
          <w:bCs w:val="1"/>
          <w:i w:val="0"/>
          <w:iCs w:val="0"/>
          <w:u w:val="none"/>
          <w:vertAlign w:val="baseline"/>
          <w:rtl w:val="0"/>
        </w:rPr>
        <w:t xml:space="preserve">захищеного класу</w:t>
      </w:r>
      <w:r>
        <w:rPr>
          <w:rFonts w:eastAsia="Calibri"/>
          <w:kern w:val="2"/>
          <w:sz w:val="20"/>
          <w:szCs w:val="20"/>
          <w14:ligatures w14:val="standardContextual"/>
          <w:lang w:val="uk"/>
          <w:b w:val="0"/>
          <w:bCs w:val="0"/>
          <w:i w:val="0"/>
          <w:iCs w:val="0"/>
          <w:u w:val="none"/>
          <w:vertAlign w:val="baseline"/>
          <w:rtl w:val="0"/>
        </w:rPr>
        <w:t xml:space="preserve"> — через расу, колір шкіри, національність, стать, гендерну ідентичність, гендерне самовираження, сексуальну орієнтацію, релігійні погляди, переконання, інвалідність, використання тварини-поводиря, статусу ветерана або учасника бойових дій.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таке дискримінаційне домагання?</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Дискримінаційне домагання може включати глузування й називання лайливими іменами, графічні або письмові вислови та інші дії, які можуть бути фізично загрозливими, шкідливими або принизливими. Про дискримінаційне домагання йдеться, коли дії стосовно учня або учениці пов’язані з його/її приналежністю до захищеного класу, і серйозність таких дій може спричинити формування ворожого середовища. </w:t>
      </w:r>
      <w:r>
        <w:rPr>
          <w:rFonts w:eastAsia="Calibri"/>
          <w:kern w:val="2"/>
          <w:sz w:val="20"/>
          <w:szCs w:val="20"/>
          <w14:ligatures w14:val="standardContextual"/>
          <w:lang w:val="uk"/>
          <w:b w:val="1"/>
          <w:bCs w:val="1"/>
          <w:i w:val="0"/>
          <w:iCs w:val="0"/>
          <w:u w:val="none"/>
          <w:vertAlign w:val="baseline"/>
          <w:rtl w:val="0"/>
        </w:rPr>
        <w:t xml:space="preserve">Вороже середовище</w:t>
      </w:r>
      <w:r>
        <w:rPr>
          <w:rFonts w:eastAsia="Calibri"/>
          <w:kern w:val="2"/>
          <w:sz w:val="20"/>
          <w:szCs w:val="20"/>
          <w14:ligatures w14:val="standardContextual"/>
          <w:lang w:val="uk"/>
          <w:b w:val="0"/>
          <w:bCs w:val="0"/>
          <w:i w:val="0"/>
          <w:iCs w:val="0"/>
          <w:u w:val="none"/>
          <w:vertAlign w:val="baseline"/>
          <w:rtl w:val="0"/>
        </w:rPr>
        <w:t xml:space="preserve"> формується, коли надзвичайно жорсткі, всеосяжні та настирливі дії перешкоджають учню/учениці брати участь у шкільних подіях і жити в школі повноцінним життям.</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uk"/>
          <w:b w:val="0"/>
          <w:bCs w:val="0"/>
          <w:i w:val="1"/>
          <w:iCs w:val="1"/>
          <w:u w:val="none"/>
          <w:vertAlign w:val="baseline"/>
          <w:rtl w:val="0"/>
        </w:rPr>
        <w:t xml:space="preserve">Положення Політики [</w:t>
      </w:r>
      <w:r>
        <w:rPr>
          <w:rFonts w:eastAsia="Calibri"/>
          <w:color w:val="C00000"/>
          <w:kern w:val="2"/>
          <w:sz w:val="20"/>
          <w:szCs w:val="20"/>
          <w14:ligatures w14:val="standardContextual"/>
          <w:lang w:val="uk"/>
          <w:b w:val="0"/>
          <w:bCs w:val="0"/>
          <w:i w:val="1"/>
          <w:iCs w:val="1"/>
          <w:u w:val="none"/>
          <w:vertAlign w:val="baseline"/>
          <w:rtl w:val="0"/>
        </w:rPr>
        <w:t xml:space="preserve">номер розділу</w:t>
      </w:r>
      <w:r>
        <w:rPr>
          <w:rFonts w:eastAsia="Calibri"/>
          <w:kern w:val="2"/>
          <w:sz w:val="20"/>
          <w:szCs w:val="20"/>
          <w14:ligatures w14:val="standardContextual"/>
          <w:lang w:val="uk"/>
          <w:b w:val="0"/>
          <w:bCs w:val="0"/>
          <w:i w:val="1"/>
          <w:iCs w:val="1"/>
          <w:u w:val="none"/>
          <w:vertAlign w:val="baseline"/>
          <w:rtl w:val="0"/>
        </w:rPr>
        <w:t xml:space="preserve">]</w:t>
      </w:r>
      <w:r>
        <w:rPr>
          <w:rFonts w:eastAsia="Calibri"/>
          <w:color w:val="FF0000"/>
          <w:kern w:val="2"/>
          <w:sz w:val="20"/>
          <w:szCs w:val="20"/>
          <w14:ligatures w14:val="standardContextual"/>
          <w:lang w:val="uk"/>
          <w:b w:val="0"/>
          <w:bCs w:val="0"/>
          <w:i w:val="1"/>
          <w:iCs w:val="1"/>
          <w:u w:val="none"/>
          <w:vertAlign w:val="baseline"/>
          <w:rtl w:val="0"/>
        </w:rPr>
        <w:t xml:space="preserve"> </w:t>
      </w:r>
      <w:r>
        <w:rPr>
          <w:rFonts w:eastAsia="Calibri"/>
          <w:kern w:val="2"/>
          <w:sz w:val="20"/>
          <w:szCs w:val="20"/>
          <w14:ligatures w14:val="standardContextual"/>
          <w:lang w:val="uk"/>
          <w:b w:val="0"/>
          <w:bCs w:val="0"/>
          <w:i w:val="1"/>
          <w:iCs w:val="1"/>
          <w:u w:val="none"/>
          <w:vertAlign w:val="baseline"/>
          <w:rtl w:val="0"/>
        </w:rPr>
        <w:t xml:space="preserve">і процедур [</w:t>
      </w:r>
      <w:r>
        <w:rPr>
          <w:rFonts w:eastAsia="Calibri"/>
          <w:color w:val="C00000"/>
          <w:kern w:val="2"/>
          <w:sz w:val="20"/>
          <w:szCs w:val="20"/>
          <w14:ligatures w14:val="standardContextual"/>
          <w:lang w:val="uk"/>
          <w:b w:val="0"/>
          <w:bCs w:val="0"/>
          <w:i w:val="1"/>
          <w:iCs w:val="1"/>
          <w:u w:val="none"/>
          <w:vertAlign w:val="baseline"/>
          <w:rtl w:val="0"/>
        </w:rPr>
        <w:t xml:space="preserve">номер розділу</w:t>
      </w:r>
      <w:r>
        <w:rPr>
          <w:rFonts w:eastAsia="Calibri"/>
          <w:kern w:val="2"/>
          <w:sz w:val="20"/>
          <w:szCs w:val="20"/>
          <w14:ligatures w14:val="standardContextual"/>
          <w:lang w:val="uk"/>
          <w:b w:val="0"/>
          <w:bCs w:val="0"/>
          <w:i w:val="1"/>
          <w:iCs w:val="1"/>
          <w:u w:val="none"/>
          <w:vertAlign w:val="baseline"/>
          <w:rtl w:val="0"/>
        </w:rPr>
        <w:t xml:space="preserve">] попередження дискримінації округу</w:t>
      </w:r>
      <w:r>
        <w:rPr>
          <w:rFonts w:eastAsia="Calibri"/>
          <w:color w:val="FF0000"/>
          <w:kern w:val="2"/>
          <w:sz w:val="20"/>
          <w:szCs w:val="20"/>
          <w14:ligatures w14:val="standardContextual"/>
          <w:lang w:val="uk"/>
          <w:b w:val="0"/>
          <w:bCs w:val="0"/>
          <w:i w:val="1"/>
          <w:iCs w:val="1"/>
          <w:u w:val="none"/>
          <w:vertAlign w:val="baseline"/>
          <w:rtl w:val="0"/>
        </w:rPr>
        <w:t xml:space="preserve"> </w:t>
      </w:r>
      <w:r>
        <w:rPr>
          <w:rFonts w:eastAsia="Calibri"/>
          <w:kern w:val="2"/>
          <w:sz w:val="20"/>
          <w:szCs w:val="20"/>
          <w14:ligatures w14:val="standardContextual"/>
          <w:lang w:val="uk"/>
          <w:b w:val="0"/>
          <w:bCs w:val="0"/>
          <w:i w:val="1"/>
          <w:iCs w:val="1"/>
          <w:u w:val="none"/>
          <w:vertAlign w:val="baseline"/>
          <w:rtl w:val="0"/>
        </w:rPr>
        <w:t xml:space="preserve">можна знайти на сторінці [</w:t>
      </w:r>
      <w:r>
        <w:rPr>
          <w:rFonts w:eastAsia="Calibri"/>
          <w:color w:val="C00000"/>
          <w:kern w:val="2"/>
          <w:sz w:val="20"/>
          <w:szCs w:val="20"/>
          <w14:ligatures w14:val="standardContextual"/>
          <w:lang w:val="uk"/>
          <w:b w:val="0"/>
          <w:bCs w:val="0"/>
          <w:i w:val="1"/>
          <w:iCs w:val="1"/>
          <w:u w:val="none"/>
          <w:vertAlign w:val="baseline"/>
          <w:rtl w:val="0"/>
        </w:rPr>
        <w:t xml:space="preserve">вебсайт</w:t>
      </w:r>
      <w:r>
        <w:rPr>
          <w:rFonts w:eastAsia="Calibri"/>
          <w:kern w:val="2"/>
          <w:sz w:val="20"/>
          <w:szCs w:val="20"/>
          <w14:ligatures w14:val="standardContextual"/>
          <w:lang w:val="uk"/>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таке сексуальне домагання?</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Сексуальне домагання</w:t>
      </w:r>
      <w:r>
        <w:rPr>
          <w:rFonts w:eastAsia="Calibri"/>
          <w:kern w:val="2"/>
          <w:sz w:val="20"/>
          <w:szCs w:val="20"/>
          <w14:ligatures w14:val="standardContextual"/>
          <w:lang w:val="uk"/>
          <w:b w:val="0"/>
          <w:bCs w:val="0"/>
          <w:i w:val="0"/>
          <w:iCs w:val="0"/>
          <w:u w:val="none"/>
          <w:vertAlign w:val="baseline"/>
          <w:rtl w:val="0"/>
        </w:rPr>
        <w:t xml:space="preserve"> — це будь-які небажані дії або комунікація сексуального характеру, які суттєво перешкоджають навчанню учня чи учениці або створюють атмосферу ворожості й залякування. Сексуальне домагання може також статися, коли учня або ученицю змушують повірити, що вони повинні погодитися на небажану сексуальну поведінку чи спілкування, щоб щось отримати натомість, як-от оцінку або місце в спортивній команді.</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Приклади сексуального домагання: змушування особи виконати дії або послуги сексуального характеру, небажане торкання сексуального характеру, графічні або текстові висловлювання сексуального характеру, нав’язливі повідомлення, електронні листи або фотографії відверто сексуального характеру, сексуальні жарти, чутки або натяки, фізичне насилля, включно зі зґвалтуванням і насильницькими діями сексуального характеру.</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 наших школах заборонено дискримінацію сексуального характеру, ця заборона відображається в усіх освітніх програмах і застосовується до всіх працівників згідно з вимогами відділу Title IX і законом штату.</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uk"/>
          <w:b w:val="0"/>
          <w:bCs w:val="0"/>
          <w:i w:val="1"/>
          <w:iCs w:val="1"/>
          <w:u w:val="none"/>
          <w:vertAlign w:val="baseline"/>
          <w:rtl w:val="0"/>
        </w:rPr>
        <w:t xml:space="preserve">Положення Політики [</w:t>
      </w:r>
      <w:r>
        <w:rPr>
          <w:rFonts w:eastAsia="Calibri"/>
          <w:color w:val="C00000"/>
          <w:kern w:val="2"/>
          <w:sz w:val="20"/>
          <w:szCs w:val="20"/>
          <w14:ligatures w14:val="standardContextual"/>
          <w:lang w:val="uk"/>
          <w:b w:val="0"/>
          <w:bCs w:val="0"/>
          <w:i w:val="1"/>
          <w:iCs w:val="1"/>
          <w:u w:val="none"/>
          <w:vertAlign w:val="baseline"/>
          <w:rtl w:val="0"/>
        </w:rPr>
        <w:t xml:space="preserve">номер розділу</w:t>
      </w:r>
      <w:r>
        <w:rPr>
          <w:rFonts w:eastAsia="Calibri"/>
          <w:kern w:val="2"/>
          <w:sz w:val="20"/>
          <w:szCs w:val="20"/>
          <w14:ligatures w14:val="standardContextual"/>
          <w:lang w:val="uk"/>
          <w:b w:val="0"/>
          <w:bCs w:val="0"/>
          <w:i w:val="1"/>
          <w:iCs w:val="1"/>
          <w:u w:val="none"/>
          <w:vertAlign w:val="baseline"/>
          <w:rtl w:val="0"/>
        </w:rPr>
        <w:t xml:space="preserve">]</w:t>
      </w:r>
      <w:r>
        <w:rPr>
          <w:rFonts w:eastAsia="Calibri"/>
          <w:color w:val="FF0000"/>
          <w:kern w:val="2"/>
          <w:sz w:val="20"/>
          <w:szCs w:val="20"/>
          <w14:ligatures w14:val="standardContextual"/>
          <w:lang w:val="uk"/>
          <w:b w:val="0"/>
          <w:bCs w:val="0"/>
          <w:i w:val="1"/>
          <w:iCs w:val="1"/>
          <w:u w:val="none"/>
          <w:vertAlign w:val="baseline"/>
          <w:rtl w:val="0"/>
        </w:rPr>
        <w:t xml:space="preserve"> </w:t>
      </w:r>
      <w:r>
        <w:rPr>
          <w:rFonts w:eastAsia="Calibri"/>
          <w:kern w:val="2"/>
          <w:sz w:val="20"/>
          <w:szCs w:val="20"/>
          <w14:ligatures w14:val="standardContextual"/>
          <w:lang w:val="uk"/>
          <w:b w:val="0"/>
          <w:bCs w:val="0"/>
          <w:i w:val="1"/>
          <w:iCs w:val="1"/>
          <w:u w:val="none"/>
          <w:vertAlign w:val="baseline"/>
          <w:rtl w:val="0"/>
        </w:rPr>
        <w:t xml:space="preserve">і процедур [</w:t>
      </w:r>
      <w:r>
        <w:rPr>
          <w:rFonts w:eastAsia="Calibri"/>
          <w:color w:val="C00000"/>
          <w:kern w:val="2"/>
          <w:sz w:val="20"/>
          <w:szCs w:val="20"/>
          <w14:ligatures w14:val="standardContextual"/>
          <w:lang w:val="uk"/>
          <w:b w:val="0"/>
          <w:bCs w:val="0"/>
          <w:i w:val="1"/>
          <w:iCs w:val="1"/>
          <w:u w:val="none"/>
          <w:vertAlign w:val="baseline"/>
          <w:rtl w:val="0"/>
        </w:rPr>
        <w:t xml:space="preserve">номер розділу</w:t>
      </w:r>
      <w:r>
        <w:rPr>
          <w:rFonts w:eastAsia="Calibri"/>
          <w:kern w:val="2"/>
          <w:sz w:val="20"/>
          <w:szCs w:val="20"/>
          <w14:ligatures w14:val="standardContextual"/>
          <w:lang w:val="uk"/>
          <w:b w:val="0"/>
          <w:bCs w:val="0"/>
          <w:i w:val="1"/>
          <w:iCs w:val="1"/>
          <w:u w:val="none"/>
          <w:vertAlign w:val="baseline"/>
          <w:rtl w:val="0"/>
        </w:rPr>
        <w:t xml:space="preserve">] попередження сексуального домагання округу</w:t>
      </w:r>
      <w:r>
        <w:rPr>
          <w:rFonts w:eastAsia="Calibri"/>
          <w:color w:val="FF0000"/>
          <w:kern w:val="2"/>
          <w:sz w:val="20"/>
          <w:szCs w:val="20"/>
          <w14:ligatures w14:val="standardContextual"/>
          <w:lang w:val="uk"/>
          <w:b w:val="0"/>
          <w:bCs w:val="0"/>
          <w:i w:val="1"/>
          <w:iCs w:val="1"/>
          <w:u w:val="none"/>
          <w:vertAlign w:val="baseline"/>
          <w:rtl w:val="0"/>
        </w:rPr>
        <w:t xml:space="preserve"> </w:t>
      </w:r>
      <w:r>
        <w:rPr>
          <w:rFonts w:eastAsia="Calibri"/>
          <w:kern w:val="2"/>
          <w:sz w:val="20"/>
          <w:szCs w:val="20"/>
          <w14:ligatures w14:val="standardContextual"/>
          <w:lang w:val="uk"/>
          <w:b w:val="0"/>
          <w:bCs w:val="0"/>
          <w:i w:val="1"/>
          <w:iCs w:val="1"/>
          <w:u w:val="none"/>
          <w:vertAlign w:val="baseline"/>
          <w:rtl w:val="0"/>
        </w:rPr>
        <w:t xml:space="preserve">можна знайти на сторінці [</w:t>
      </w:r>
      <w:r>
        <w:rPr>
          <w:rFonts w:eastAsia="Calibri"/>
          <w:color w:val="C00000"/>
          <w:kern w:val="2"/>
          <w:sz w:val="20"/>
          <w:szCs w:val="20"/>
          <w14:ligatures w14:val="standardContextual"/>
          <w:lang w:val="uk"/>
          <w:b w:val="0"/>
          <w:bCs w:val="0"/>
          <w:i w:val="1"/>
          <w:iCs w:val="1"/>
          <w:u w:val="none"/>
          <w:vertAlign w:val="baseline"/>
          <w:rtl w:val="0"/>
        </w:rPr>
        <w:t xml:space="preserve">вебсайт</w:t>
      </w:r>
      <w:r>
        <w:rPr>
          <w:rFonts w:eastAsia="Calibri"/>
          <w:kern w:val="2"/>
          <w:sz w:val="20"/>
          <w:szCs w:val="20"/>
          <w14:ligatures w14:val="standardContextual"/>
          <w:lang w:val="uk"/>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моя школа повинна робити в разі дискримінаційного та сексуального домагання?</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Коли в школі стає відомо про можливе дискримінаційне або сексуальне домагання, вона повинна провести розслідування та припинити такі дії. Школа повинна вжити заходів щодо будь-яких наслідків домагання для учня/учениці школи, зокрема, усунути ворожі умови та не допустити випадків домагання в майбутньому.</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я можу зробити, якщо мене турбує дискримінація або домагання?</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Поговоріть із координатором або складіть письмову скаргу.</w:t>
      </w:r>
      <w:r>
        <w:rPr>
          <w:rFonts w:eastAsia="Calibri"/>
          <w:kern w:val="2"/>
          <w:sz w:val="20"/>
          <w:szCs w:val="20"/>
          <w14:ligatures w14:val="standardContextual"/>
          <w:lang w:val="uk"/>
          <w:b w:val="0"/>
          <w:bCs w:val="0"/>
          <w:i w:val="0"/>
          <w:iCs w:val="0"/>
          <w:u w:val="none"/>
          <w:vertAlign w:val="baseline"/>
          <w:rtl w:val="0"/>
        </w:rPr>
        <w:t xml:space="preserve"> Ви можете звернутися до наведених далі працівників шкільного округу та повідомити про свої побоювання, поставити запитання або дізнатися більше про те, як розв’язати свої проблеми.</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Питання щодо дискримінації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Координатор із громадянських прав: </w:t>
      </w:r>
      <w:r>
        <w:rPr>
          <w:rFonts w:eastAsia="Calibri"/>
          <w:color w:val="C00000"/>
          <w:kern w:val="2"/>
          <w:sz w:val="20"/>
          <w:szCs w:val="20"/>
          <w14:ligatures w14:val="standardContextual"/>
          <w:lang w:val="uk"/>
          <w:b w:val="0"/>
          <w:bCs w:val="0"/>
          <w:i w:val="0"/>
          <w:iCs w:val="0"/>
          <w:u w:val="none"/>
          <w:vertAlign w:val="baseline"/>
          <w:rtl w:val="0"/>
        </w:rPr>
        <w:t xml:space="preserve">ІМ’Я, ПОСАДА, КОНТАКТНІ ДАНІ (адреса, електронна пошта, телефон)</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Питання щодо сексуальної дискримінації та сексуального домагання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Координатор відділу Title IX:  </w:t>
      </w:r>
      <w:r>
        <w:rPr>
          <w:rFonts w:eastAsia="Calibri"/>
          <w:color w:val="C00000"/>
          <w:kern w:val="2"/>
          <w:sz w:val="20"/>
          <w:szCs w:val="20"/>
          <w14:ligatures w14:val="standardContextual"/>
          <w:lang w:val="uk"/>
          <w:b w:val="0"/>
          <w:bCs w:val="0"/>
          <w:i w:val="0"/>
          <w:iCs w:val="0"/>
          <w:u w:val="none"/>
          <w:vertAlign w:val="baseline"/>
          <w:rtl w:val="0"/>
        </w:rPr>
        <w:t xml:space="preserve">ІМ’Я, ПОСАДА, КОНТАКТНІ ДАНІ (адреса, електронна пошта, телефон)</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Питання щодо дискримінації через інвалідність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Координатор із питань дотримання вимог Розділу 504 Закону про реабілітацію людей з інвалідністю: </w:t>
      </w:r>
      <w:r>
        <w:rPr>
          <w:rFonts w:eastAsia="Calibri"/>
          <w:color w:val="C00000"/>
          <w:kern w:val="2"/>
          <w:sz w:val="20"/>
          <w:szCs w:val="20"/>
          <w14:ligatures w14:val="standardContextual"/>
          <w:lang w:val="uk"/>
          <w:b w:val="0"/>
          <w:bCs w:val="0"/>
          <w:i w:val="0"/>
          <w:iCs w:val="0"/>
          <w:u w:val="none"/>
          <w:vertAlign w:val="baseline"/>
          <w:rtl w:val="0"/>
        </w:rPr>
        <w:t xml:space="preserve">ІМ’Я, ПОСАДА, КОНТАКТНІ ДАНІ (адреса, електронна пошта, телефон)</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Питання щодо гендерної дискримінації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Координатор гендерно-інклюзивних шкіл: </w:t>
      </w:r>
      <w:r>
        <w:rPr>
          <w:rFonts w:eastAsia="Calibri"/>
          <w:color w:val="C00000"/>
          <w:kern w:val="2"/>
          <w:sz w:val="20"/>
          <w:szCs w:val="20"/>
          <w14:ligatures w14:val="standardContextual"/>
          <w:lang w:val="uk"/>
          <w:b w:val="0"/>
          <w:bCs w:val="0"/>
          <w:i w:val="0"/>
          <w:iCs w:val="0"/>
          <w:u w:val="none"/>
          <w:vertAlign w:val="baseline"/>
          <w:rtl w:val="0"/>
        </w:rPr>
        <w:t xml:space="preserve">ІМ’Я, ПОСАДА, КОНТАКТНІ ДАНІ (адреса, електронна пошта, телефон)</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Письмову скаргу</w:t>
      </w:r>
      <w:r>
        <w:rPr>
          <w:rFonts w:eastAsia="Calibri"/>
          <w:kern w:val="2"/>
          <w:sz w:val="20"/>
          <w:szCs w:val="20"/>
          <w14:ligatures w14:val="standardContextual"/>
          <w:lang w:val="uk"/>
          <w:b w:val="0"/>
          <w:bCs w:val="0"/>
          <w:i w:val="0"/>
          <w:iCs w:val="0"/>
          <w:u w:val="none"/>
          <w:vertAlign w:val="baseline"/>
          <w:rtl w:val="0"/>
        </w:rPr>
        <w:t xml:space="preserve"> з описом дій або інциденту, які можуть мати дискримінаційний характер, необхідно відправити поштою, факсом або електронною поштою або передати особисто директору школи, керівнику адміністрації округу або координатору з громадянських прав. Скаргу необхідно подати якнайшвидше — це дасть змогу провести розслідування негайно або протягом одного року від дати, коли сталися зазначені вище дії або інцидент.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Що відбувається після того, як я подаю скаргу щодо дискримінації?</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Координатор із громадянських прав дасть вам копію документа, у якому описано процедуру розгляду скарг щодо дискримінації в шкільному окрузі. Координатор із громадянських прав повинен негайно забезпечити проведення ретельного розслідування. Розслідування має бути проведене протягом 30 календарних днів, окрім випадків, коли ви погодилися на інший термін. Якщо ваша скарга стосується виняткових обставин, що потребують тривалішого розслідування, координатор із громадянських прав повідомить вас про очікувану дату їхнього рішення в письмовій формі.</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Після завершення розслідування керівник шкільного округу або працівник школи, який веде розслідування, повинні відправити вам письмову відповідь на скаргу. Письмова відповідь включатиме: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звіт за результатами розслідування;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висновок про те, чи зміг шкільний округ виконати вимоги закону про громадянські права;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рішення про необхідні коригувальні заходи або заходи захисту;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інформацію про те, як можна оскаржити рішення.</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Які кроки я можу зробити далі, якщо не погоджуюся з результатом?</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Якщо ви не погоджуєтеся з результатом розгляду своєї скарги, ви можете оскаржити рішення в </w:t>
      </w:r>
      <w:r>
        <w:rPr>
          <w:rFonts w:eastAsia="Calibri"/>
          <w:color w:val="C00000"/>
          <w:kern w:val="2"/>
          <w:sz w:val="20"/>
          <w:szCs w:val="20"/>
          <w14:ligatures w14:val="standardContextual"/>
          <w:lang w:val="uk"/>
          <w:b w:val="0"/>
          <w:bCs w:val="0"/>
          <w:i w:val="0"/>
          <w:iCs w:val="0"/>
          <w:u w:val="none"/>
          <w:vertAlign w:val="baseline"/>
          <w:rtl w:val="0"/>
        </w:rPr>
        <w:t xml:space="preserve">[орган, що ухвалює рішення щодо оскарження, зазначений у політиці ради (наприклад, шкільної ради)]</w:t>
      </w:r>
      <w:r>
        <w:rPr>
          <w:rFonts w:eastAsia="Calibri"/>
          <w:kern w:val="2"/>
          <w:sz w:val="20"/>
          <w:szCs w:val="20"/>
          <w14:ligatures w14:val="standardContextual"/>
          <w:lang w:val="uk"/>
          <w:b w:val="0"/>
          <w:bCs w:val="0"/>
          <w:i w:val="0"/>
          <w:iCs w:val="0"/>
          <w:u w:val="none"/>
          <w:vertAlign w:val="baseline"/>
          <w:rtl w:val="0"/>
        </w:rPr>
        <w:t xml:space="preserve">, а потім в Управління інспектора державної освіти (Office of Superintendent of Public Instruction, OSPI). Докладнішу інформацію про цей процес, зокрема про важливі терміни, можна знайти в Процедурі недопущення дискримінації (розділ </w:t>
      </w:r>
      <w:r>
        <w:rPr>
          <w:rFonts w:eastAsia="Calibri"/>
          <w:color w:val="C00000"/>
          <w:kern w:val="2"/>
          <w:sz w:val="20"/>
          <w:szCs w:val="20"/>
          <w14:ligatures w14:val="standardContextual"/>
          <w:lang w:val="uk"/>
          <w:b w:val="0"/>
          <w:bCs w:val="0"/>
          <w:i w:val="0"/>
          <w:iCs w:val="0"/>
          <w:u w:val="none"/>
          <w:vertAlign w:val="baseline"/>
          <w:rtl w:val="0"/>
        </w:rPr>
        <w:t xml:space="preserve">3210P</w:t>
      </w:r>
      <w:r>
        <w:rPr>
          <w:rFonts w:eastAsia="Calibri"/>
          <w:kern w:val="2"/>
          <w:sz w:val="20"/>
          <w:szCs w:val="20"/>
          <w14:ligatures w14:val="standardContextual"/>
          <w:lang w:val="uk"/>
          <w:b w:val="0"/>
          <w:bCs w:val="0"/>
          <w:i w:val="0"/>
          <w:iCs w:val="0"/>
          <w:u w:val="none"/>
          <w:vertAlign w:val="baseline"/>
          <w:rtl w:val="0"/>
        </w:rPr>
        <w:t xml:space="preserve">) і Процедурі недопущення сексуального домагання (розділ </w:t>
      </w:r>
      <w:r>
        <w:rPr>
          <w:rFonts w:eastAsia="Calibri"/>
          <w:color w:val="C00000"/>
          <w:kern w:val="2"/>
          <w:sz w:val="20"/>
          <w:szCs w:val="20"/>
          <w14:ligatures w14:val="standardContextual"/>
          <w:lang w:val="uk"/>
          <w:b w:val="0"/>
          <w:bCs w:val="0"/>
          <w:i w:val="0"/>
          <w:iCs w:val="0"/>
          <w:u w:val="none"/>
          <w:vertAlign w:val="baseline"/>
          <w:rtl w:val="0"/>
        </w:rPr>
        <w:t xml:space="preserve">3205P</w:t>
      </w:r>
      <w:r>
        <w:rPr>
          <w:rFonts w:eastAsia="Calibri"/>
          <w:kern w:val="2"/>
          <w:sz w:val="20"/>
          <w:szCs w:val="20"/>
          <w14:ligatures w14:val="standardContextual"/>
          <w:lang w:val="uk"/>
          <w:b w:val="0"/>
          <w:bCs w:val="0"/>
          <w:i w:val="0"/>
          <w:iCs w:val="0"/>
          <w:u w:val="none"/>
          <w:vertAlign w:val="baseline"/>
          <w:rtl w:val="0"/>
        </w:rPr>
        <w:t xml:space="preserve">).</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uk"/>
          <w:b w:val="0"/>
          <w:bCs w:val="0"/>
          <w:i w:val="0"/>
          <w:iCs w:val="0"/>
          <w:u w:val="none"/>
          <w:vertAlign w:val="baseline"/>
          <w:rtl w:val="0"/>
        </w:rPr>
        <w:t xml:space="preserve">Я вже подав/подала скаргу на домагання, залякування або цькування (HIB), що робитиме моя школа?</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uk"/>
          <w:b w:val="0"/>
          <w:bCs w:val="0"/>
          <w:i w:val="0"/>
          <w:iCs w:val="0"/>
          <w:u w:val="none"/>
          <w:vertAlign w:val="baseline"/>
          <w:rtl w:val="0"/>
        </w:rPr>
        <w:t xml:space="preserve">Домагання, залякування або цькування (HIB) може також мати характер дискримінації, якщо ці випадки стосуються представників захищеного класу.</w:t>
      </w:r>
      <w:bookmarkEnd w:id="1"/>
      <w:r>
        <w:rPr>
          <w:rFonts w:eastAsia="Calibri"/>
          <w:kern w:val="2"/>
          <w:sz w:val="20"/>
          <w:szCs w:val="20"/>
          <w14:ligatures w14:val="standardContextual"/>
          <w:lang w:val="uk"/>
          <w:b w:val="0"/>
          <w:bCs w:val="0"/>
          <w:i w:val="0"/>
          <w:iCs w:val="0"/>
          <w:u w:val="none"/>
          <w:vertAlign w:val="baseline"/>
          <w:rtl w:val="0"/>
        </w:rPr>
        <w:t xml:space="preserve"> Якщо ви письмово повідомите школу про випадок домагання, залякування або цькування (HIB), пов’язаний із дискримінацією або сексуальним домаганням, ваша школа повідомить про цей факт координатора з громадянських прав. З метою </w:t>
      </w:r>
      <w:r>
        <w:rPr>
          <w:rFonts w:eastAsia="Calibri"/>
          <w:kern w:val="2"/>
          <w:sz w:val="20"/>
          <w:szCs w:val="20"/>
          <w14:ligatures w14:val="standardContextual"/>
          <w:lang w:val="uk"/>
          <w:b w:val="1"/>
          <w:bCs w:val="1"/>
          <w:i w:val="0"/>
          <w:iCs w:val="0"/>
          <w:u w:val="none"/>
          <w:vertAlign w:val="baseline"/>
          <w:rtl w:val="0"/>
        </w:rPr>
        <w:t xml:space="preserve">розгляду вашої скарги в повному обсязі </w:t>
      </w:r>
      <w:r>
        <w:rPr>
          <w:rFonts w:eastAsia="Calibri"/>
          <w:kern w:val="2"/>
          <w:sz w:val="20"/>
          <w:szCs w:val="20"/>
          <w14:ligatures w14:val="standardContextual"/>
          <w:lang w:val="uk"/>
          <w:b w:val="0"/>
          <w:bCs w:val="0"/>
          <w:i w:val="0"/>
          <w:iCs w:val="0"/>
          <w:u w:val="none"/>
          <w:vertAlign w:val="baseline"/>
          <w:rtl w:val="0"/>
        </w:rPr>
        <w:t xml:space="preserve">шкільний округ проведе розслідування на підставі розділу </w:t>
      </w:r>
      <w:r>
        <w:rPr>
          <w:rFonts w:eastAsia="Calibri"/>
          <w:color w:val="C00000"/>
          <w:kern w:val="2"/>
          <w:sz w:val="20"/>
          <w:szCs w:val="20"/>
          <w14:ligatures w14:val="standardContextual"/>
          <w:lang w:val="uk"/>
          <w:b w:val="0"/>
          <w:bCs w:val="0"/>
          <w:i w:val="0"/>
          <w:iCs w:val="0"/>
          <w:u w:val="none"/>
          <w:vertAlign w:val="baseline"/>
          <w:rtl w:val="0"/>
        </w:rPr>
        <w:t xml:space="preserve">3210P</w:t>
      </w:r>
      <w:r>
        <w:rPr>
          <w:rFonts w:eastAsia="Calibri"/>
          <w:kern w:val="2"/>
          <w:sz w:val="20"/>
          <w:szCs w:val="20"/>
          <w14:ligatures w14:val="standardContextual"/>
          <w:lang w:val="uk"/>
          <w:b w:val="0"/>
          <w:bCs w:val="0"/>
          <w:i w:val="0"/>
          <w:iCs w:val="0"/>
          <w:u w:val="none"/>
          <w:vertAlign w:val="baseline"/>
          <w:rtl w:val="0"/>
        </w:rPr>
        <w:t xml:space="preserve"> Процедури недопущення дискримінації та розділу </w:t>
      </w:r>
      <w:r>
        <w:rPr>
          <w:rFonts w:eastAsia="Calibri"/>
          <w:color w:val="C00000"/>
          <w:kern w:val="2"/>
          <w:sz w:val="20"/>
          <w:szCs w:val="20"/>
          <w14:ligatures w14:val="standardContextual"/>
          <w:lang w:val="uk"/>
          <w:b w:val="0"/>
          <w:bCs w:val="0"/>
          <w:i w:val="0"/>
          <w:iCs w:val="0"/>
          <w:u w:val="none"/>
          <w:vertAlign w:val="baseline"/>
          <w:rtl w:val="0"/>
        </w:rPr>
        <w:t xml:space="preserve">3207P</w:t>
      </w:r>
      <w:r>
        <w:rPr>
          <w:rFonts w:eastAsia="Calibri"/>
          <w:kern w:val="2"/>
          <w:sz w:val="20"/>
          <w:szCs w:val="20"/>
          <w14:ligatures w14:val="standardContextual"/>
          <w:lang w:val="uk"/>
          <w:b w:val="0"/>
          <w:bCs w:val="0"/>
          <w:i w:val="0"/>
          <w:iCs w:val="0"/>
          <w:u w:val="none"/>
          <w:vertAlign w:val="baseline"/>
          <w:rtl w:val="0"/>
        </w:rPr>
        <w:t xml:space="preserve"> Процедури недопущення домагання, залякування або цькування (HIB).</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uk"/>
          <w:b w:val="0"/>
          <w:bCs w:val="0"/>
          <w:i w:val="0"/>
          <w:iCs w:val="0"/>
          <w:u w:val="none"/>
          <w:vertAlign w:val="baseline"/>
          <w:rtl w:val="0"/>
        </w:rPr>
        <w:t xml:space="preserve">Хто ще може допомогти в разі домагання, залякування або цькування чи дискримінації (HIB)?</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Управління інспектора державної освіти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Усі звернення подаються спочатку на місцевому рівні — до школи або до адміністрації округу. Однак OSPI може допомогти учням, сім’ям, спільнотам і працівникам шкіл із питаннями щодо законодавства штату, процесу розгляду скарг на випадки домагання, залякування або цькування (HIB), а також процесів розгляду скарг у разі дискримінації та сексуального домагання.</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Центр шкільної безпеки (School Safety Center) OSPI (щодо проблем домагання, залякування або цькування)</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uk"/>
          <w:b w:val="0"/>
          <w:bCs w:val="0"/>
          <w:i w:val="0"/>
          <w:iCs w:val="0"/>
          <w:u w:val="none"/>
          <w:vertAlign w:val="baseline"/>
          <w:rtl w:val="0"/>
        </w:rPr>
        <w:t xml:space="preserve">Вебсайт: </w:t>
      </w:r>
      <w:r>
        <w:rPr>
          <w:sz w:val="20"/>
          <w:szCs w:val="20"/>
          <w:lang w:val="uk"/>
          <w:b w:val="0"/>
          <w:bCs w:val="0"/>
          <w:i w:val="0"/>
          <w:iCs w:val="0"/>
          <w:u w:val="none"/>
          <w:vertAlign w:val="baseline"/>
          <w:rtl w:val="0"/>
        </w:rPr>
        <w:t xml:space="preserve">ospi.k12.wa.us/student-success/health-safety/school-safety-center</w:t>
      </w:r>
      <w:r>
        <w:rPr>
          <w:sz w:val="20"/>
          <w:szCs w:val="20"/>
          <w:lang w:val="uk"/>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uk"/>
          <w:b w:val="0"/>
          <w:bCs w:val="0"/>
          <w:i w:val="0"/>
          <w:iCs w:val="0"/>
          <w:u w:val="none"/>
          <w:vertAlign w:val="baseline"/>
          <w:rtl w:val="0"/>
        </w:rPr>
        <w:t xml:space="preserve">Адреса електронної пошти: </w:t>
      </w:r>
      <w:hyperlink r:id="rId15" w:history="1">
        <w:r>
          <w:rPr>
            <w:rFonts w:eastAsia="Times New Roman"/>
            <w:color w:val="0563C1"/>
            <w:sz w:val="20"/>
            <w:szCs w:val="20"/>
            <w:lang w:val="uk"/>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uk"/>
          <w:b w:val="0"/>
          <w:bCs w:val="0"/>
          <w:i w:val="0"/>
          <w:iCs w:val="0"/>
          <w:u w:val="none"/>
          <w:vertAlign w:val="baseline"/>
          <w:rtl w:val="0"/>
        </w:rPr>
        <w:t xml:space="preserve">Телефон: </w:t>
      </w:r>
      <w:r>
        <w:rPr>
          <w:sz w:val="20"/>
          <w:szCs w:val="20"/>
          <w:lang w:val="uk"/>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Відділ із питань рівності та громадянських прав (Equity and Civil Rights Office) OSPI (щодо проблем дискримінації та сексуального домагання)</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Вебсайт: </w:t>
      </w:r>
      <w:hyperlink r:id="rId16" w:history="1">
        <w:r>
          <w:rPr>
            <w:rFonts w:eastAsia="Calibri"/>
            <w:color w:val="0563C1"/>
            <w:kern w:val="2"/>
            <w:sz w:val="20"/>
            <w:szCs w:val="20"/>
            <w14:ligatures w14:val="standardContextual"/>
            <w:lang w:val="uk"/>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uk"/>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Адреса електронної пошти: </w:t>
      </w:r>
      <w:hyperlink r:id="rId17" w:history="1">
        <w:r>
          <w:rPr>
            <w:rFonts w:eastAsia="Calibri"/>
            <w:color w:val="0563C1"/>
            <w:kern w:val="2"/>
            <w:sz w:val="20"/>
            <w:szCs w:val="20"/>
            <w14:ligatures w14:val="standardContextual"/>
            <w:lang w:val="uk"/>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Телефон: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Управління омбудсмена з питань освіти (OEO) в офісі губернатора Washington State</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Управління омбудсмена з питань освіти (Office of the Education Ombuds, OEO) в офісі губернатора Washington State (Washington State Governor’s) працює із сім’ями, спільнотами й школами та розв’язує проблеми разом із ними, щоб усі учні мали змогу брати повноцінну участь у житті 12-річних державних шкіл штату Washington і успішно навчатися. OEO надає неформальні інструменти розв’язання конфліктів, послуги коучингу, забезпечує підтримку й навчання щодо питань сім’ї, залучення спільноти й правового захисту громадян.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Вебсайт: </w:t>
      </w:r>
      <w:hyperlink r:id="rId18" w:history="1">
        <w:r>
          <w:rPr>
            <w:rFonts w:eastAsia="Calibri"/>
            <w:color w:val="0563C1"/>
            <w:kern w:val="2"/>
            <w:sz w:val="20"/>
            <w:szCs w:val="20"/>
            <w14:ligatures w14:val="standardContextual"/>
            <w:lang w:val="uk"/>
            <w:b w:val="0"/>
            <w:bCs w:val="0"/>
            <w:i w:val="0"/>
            <w:iCs w:val="0"/>
            <w:u w:val="single"/>
            <w:vertAlign w:val="baseline"/>
            <w:rtl w:val="0"/>
          </w:rPr>
          <w:t xml:space="preserve">www.oeo.wa.gov</w:t>
        </w:r>
      </w:hyperlink>
      <w:r>
        <w:rPr>
          <w:rFonts w:eastAsia="Calibri"/>
          <w:kern w:val="2"/>
          <w:sz w:val="20"/>
          <w:szCs w:val="20"/>
          <w14:ligatures w14:val="standardContextual"/>
          <w:lang w:val="uk"/>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Адреса електронної пошти: </w:t>
      </w:r>
      <w:hyperlink r:id="rId19" w:history="1">
        <w:r>
          <w:rPr>
            <w:rFonts w:eastAsia="Calibri"/>
            <w:color w:val="0563C1"/>
            <w:kern w:val="2"/>
            <w:sz w:val="20"/>
            <w:szCs w:val="20"/>
            <w14:ligatures w14:val="standardContextual"/>
            <w:lang w:val="uk"/>
            <w:b w:val="0"/>
            <w:bCs w:val="0"/>
            <w:i w:val="0"/>
            <w:iCs w:val="0"/>
            <w:u w:val="single"/>
            <w:vertAlign w:val="baseline"/>
            <w:rtl w:val="0"/>
          </w:rPr>
          <w:t xml:space="preserve">oeoinfo@gov.wa.gov</w:t>
        </w:r>
      </w:hyperlink>
      <w:r>
        <w:rPr>
          <w:rFonts w:eastAsia="Calibri"/>
          <w:kern w:val="2"/>
          <w:sz w:val="20"/>
          <w:szCs w:val="20"/>
          <w14:ligatures w14:val="standardContextual"/>
          <w:lang w:val="uk"/>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Телефон: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uk"/>
          <w:b w:val="1"/>
          <w:bCs w:val="1"/>
          <w:i w:val="0"/>
          <w:iCs w:val="0"/>
          <w:u w:val="none"/>
          <w:vertAlign w:val="baseline"/>
          <w:rtl w:val="0"/>
        </w:rPr>
        <w:t xml:space="preserve">Управління громадянських прав (OCR) Міністерства освіти США</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Управління громадянських прав (Office for Civil Rights, OCR) Міністерства освіти США (U.S. Department of Education) забезпечує дотримання федеральних законів про боротьбу з дискримінацією в державних школах, зокрема законів, що забороняють дискримінацію за ознакою статі, раси, кольору шкіри, національного походження, інвалідності та віку. OCR також розробило процедуру подання й розгляду скарг на випадки дискримінації.</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Вебсайт: </w:t>
      </w:r>
      <w:hyperlink r:id="rId20" w:history="1">
        <w:r>
          <w:rPr>
            <w:rStyle w:val="Hyperlink"/>
            <w:rFonts w:eastAsia="Calibri"/>
            <w:kern w:val="2"/>
            <w:sz w:val="20"/>
            <w:szCs w:val="20"/>
            <w14:ligatures w14:val="standardContextual"/>
            <w:lang w:val="uk"/>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uk"/>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Адреса електронної пошти: </w:t>
      </w:r>
      <w:hyperlink r:id="rId21" w:history="1">
        <w:r>
          <w:rPr>
            <w:rStyle w:val="Hyperlink"/>
            <w:rFonts w:eastAsia="Calibri"/>
            <w:kern w:val="2"/>
            <w:sz w:val="20"/>
            <w:szCs w:val="20"/>
            <w14:ligatures w14:val="standardContextual"/>
            <w:lang w:val="uk"/>
            <w:b w:val="0"/>
            <w:bCs w:val="0"/>
            <w:i w:val="0"/>
            <w:iCs w:val="0"/>
            <w:u w:val="single"/>
            <w:vertAlign w:val="baseline"/>
            <w:rtl w:val="0"/>
          </w:rPr>
          <w:t xml:space="preserve">orc@ed.gov</w:t>
        </w:r>
      </w:hyperlink>
      <w:r>
        <w:rPr>
          <w:rFonts w:eastAsia="Calibri"/>
          <w:kern w:val="2"/>
          <w:sz w:val="20"/>
          <w:szCs w:val="20"/>
          <w14:ligatures w14:val="standardContextual"/>
          <w:lang w:val="uk"/>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Телефон: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uk"/>
          <w:b w:val="0"/>
          <w:bCs w:val="0"/>
          <w:i w:val="0"/>
          <w:iCs w:val="0"/>
          <w:u w:val="none"/>
          <w:vertAlign w:val="baseline"/>
          <w:rtl w:val="0"/>
        </w:rPr>
        <w:t xml:space="preserve">Наша школа враховує інтереси учнів/учениць будь-якої статі</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У Washington усі учні/учениці мають право на ставлення до себе в школі відповідно до своєї гендерної ідентифікації. У нашій школі:</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 учнів/учениць звертаються за іменами (зміненими чи не зміненими в документах, що посвідчують особу) і застосовують займенники, про які вони самі попросили;</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змінюють інформацію про гендерну належність у шкільній документації на коректну;</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дозволяють учням/ученицям користуватися туалетами й роздягальнями відповідно до їхньої гендерної ідентичності;</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дозволяють учням/ученицям брати участь у заняттях спортом і навчальних спортивних курсах, походах і виїзних екскурсіях відповідно до їхньої гендерної ідентичності;</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не розголошують інформацію про стан здоров’я та процес навчання;</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дозволяють носити одяг, що відповідає гендерній ідентичності, а також застосовують дрес-код без врахування статі учнів або їхнього гендерного сприйняття;</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захищають учнів від глузування, цькування та домагання через їхню стать чи гендерну ідентичність.</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Ознайомитися з прийнятими в окрузі положеннями Політики [</w:t>
      </w:r>
      <w:r>
        <w:rPr>
          <w:rFonts w:eastAsia="Calibri"/>
          <w:color w:val="C00000"/>
          <w:kern w:val="2"/>
          <w:sz w:val="20"/>
          <w:szCs w:val="20"/>
          <w14:ligatures w14:val="standardContextual"/>
          <w:lang w:val="uk"/>
          <w:b w:val="0"/>
          <w:bCs w:val="0"/>
          <w:i w:val="0"/>
          <w:iCs w:val="0"/>
          <w:u w:val="none"/>
          <w:vertAlign w:val="baseline"/>
          <w:rtl w:val="0"/>
        </w:rPr>
        <w:t xml:space="preserve">номер розділу</w:t>
      </w:r>
      <w:r>
        <w:rPr>
          <w:rFonts w:eastAsia="Calibri"/>
          <w:kern w:val="2"/>
          <w:sz w:val="20"/>
          <w:szCs w:val="20"/>
          <w14:ligatures w14:val="standardContextual"/>
          <w:lang w:val="uk"/>
          <w:b w:val="0"/>
          <w:bCs w:val="0"/>
          <w:i w:val="0"/>
          <w:iCs w:val="0"/>
          <w:u w:val="none"/>
          <w:vertAlign w:val="baseline"/>
          <w:rtl w:val="0"/>
        </w:rPr>
        <w:t xml:space="preserve">]</w:t>
      </w:r>
      <w:r>
        <w:rPr>
          <w:rFonts w:eastAsia="Calibri"/>
          <w:color w:val="FF0000"/>
          <w:kern w:val="2"/>
          <w:sz w:val="20"/>
          <w:szCs w:val="20"/>
          <w14:ligatures w14:val="standardContextual"/>
          <w:lang w:val="uk"/>
          <w:b w:val="0"/>
          <w:bCs w:val="0"/>
          <w:i w:val="0"/>
          <w:iCs w:val="0"/>
          <w:u w:val="none"/>
          <w:vertAlign w:val="baseline"/>
          <w:rtl w:val="0"/>
        </w:rPr>
        <w:t xml:space="preserve"> </w:t>
      </w:r>
      <w:r>
        <w:rPr>
          <w:rFonts w:eastAsia="Calibri"/>
          <w:kern w:val="2"/>
          <w:sz w:val="20"/>
          <w:szCs w:val="20"/>
          <w14:ligatures w14:val="standardContextual"/>
          <w:lang w:val="uk"/>
          <w:b w:val="0"/>
          <w:bCs w:val="0"/>
          <w:i w:val="0"/>
          <w:iCs w:val="0"/>
          <w:u w:val="none"/>
          <w:vertAlign w:val="baseline"/>
          <w:rtl w:val="0"/>
        </w:rPr>
        <w:t xml:space="preserve">і процедур [</w:t>
      </w:r>
      <w:r>
        <w:rPr>
          <w:rFonts w:eastAsia="Calibri"/>
          <w:color w:val="C00000"/>
          <w:kern w:val="2"/>
          <w:sz w:val="20"/>
          <w:szCs w:val="20"/>
          <w14:ligatures w14:val="standardContextual"/>
          <w:lang w:val="uk"/>
          <w:b w:val="0"/>
          <w:bCs w:val="0"/>
          <w:i w:val="0"/>
          <w:iCs w:val="0"/>
          <w:u w:val="none"/>
          <w:vertAlign w:val="baseline"/>
          <w:rtl w:val="0"/>
        </w:rPr>
        <w:t xml:space="preserve">номер розділу</w:t>
      </w:r>
      <w:r>
        <w:rPr>
          <w:rFonts w:eastAsia="Calibri"/>
          <w:kern w:val="2"/>
          <w:sz w:val="20"/>
          <w:szCs w:val="20"/>
          <w14:ligatures w14:val="standardContextual"/>
          <w:lang w:val="uk"/>
          <w:b w:val="0"/>
          <w:bCs w:val="0"/>
          <w:i w:val="0"/>
          <w:iCs w:val="0"/>
          <w:u w:val="none"/>
          <w:vertAlign w:val="baseline"/>
          <w:rtl w:val="0"/>
        </w:rPr>
        <w:t xml:space="preserve">] щодо шкіл, де з повагою ставляться до будь-якої гендерної ідентичності,</w:t>
      </w:r>
      <w:r>
        <w:rPr>
          <w:rFonts w:eastAsia="Calibri"/>
          <w:color w:val="FF0000"/>
          <w:kern w:val="2"/>
          <w:sz w:val="20"/>
          <w:szCs w:val="20"/>
          <w14:ligatures w14:val="standardContextual"/>
          <w:lang w:val="uk"/>
          <w:b w:val="0"/>
          <w:bCs w:val="0"/>
          <w:i w:val="0"/>
          <w:iCs w:val="0"/>
          <w:u w:val="none"/>
          <w:vertAlign w:val="baseline"/>
          <w:rtl w:val="0"/>
        </w:rPr>
        <w:t xml:space="preserve"> </w:t>
      </w:r>
      <w:r>
        <w:rPr>
          <w:rFonts w:eastAsia="Calibri"/>
          <w:kern w:val="2"/>
          <w:sz w:val="20"/>
          <w:szCs w:val="20"/>
          <w14:ligatures w14:val="standardContextual"/>
          <w:lang w:val="uk"/>
          <w:b w:val="0"/>
          <w:bCs w:val="0"/>
          <w:i w:val="0"/>
          <w:iCs w:val="0"/>
          <w:u w:val="none"/>
          <w:vertAlign w:val="baseline"/>
          <w:rtl w:val="0"/>
        </w:rPr>
        <w:t xml:space="preserve">можна на [</w:t>
      </w:r>
      <w:r>
        <w:rPr>
          <w:rFonts w:eastAsia="Calibri"/>
          <w:color w:val="C00000"/>
          <w:kern w:val="2"/>
          <w:sz w:val="20"/>
          <w:szCs w:val="20"/>
          <w14:ligatures w14:val="standardContextual"/>
          <w:lang w:val="uk"/>
          <w:b w:val="0"/>
          <w:bCs w:val="0"/>
          <w:i w:val="0"/>
          <w:iCs w:val="0"/>
          <w:u w:val="none"/>
          <w:vertAlign w:val="baseline"/>
          <w:rtl w:val="0"/>
        </w:rPr>
        <w:t xml:space="preserve">вебсайт</w:t>
      </w:r>
      <w:r>
        <w:rPr>
          <w:rFonts w:eastAsia="Calibri"/>
          <w:kern w:val="2"/>
          <w:sz w:val="20"/>
          <w:szCs w:val="20"/>
          <w14:ligatures w14:val="standardContextual"/>
          <w:lang w:val="uk"/>
          <w:b w:val="0"/>
          <w:bCs w:val="0"/>
          <w:i w:val="0"/>
          <w:iCs w:val="0"/>
          <w:u w:val="none"/>
          <w:vertAlign w:val="baseline"/>
          <w:rtl w:val="0"/>
        </w:rPr>
        <w:t xml:space="preserve">]. Якщо у вас є запитання чи занепокоєння, зв’яжіться зі шкільним координатором із питань поваги до будь-якої гендерної ідентичності: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uk"/>
          <w:b w:val="0"/>
          <w:bCs w:val="0"/>
          <w:i w:val="0"/>
          <w:iCs w:val="0"/>
          <w:u w:val="none"/>
          <w:vertAlign w:val="baseline"/>
          <w:rtl w:val="0"/>
        </w:rPr>
        <w:t xml:space="preserve">[ІМ’Я, ПОСАДА, КОНТАКТНІ ДАНІ]</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uk"/>
          <w:b w:val="0"/>
          <w:bCs w:val="0"/>
          <w:i w:val="0"/>
          <w:iCs w:val="0"/>
          <w:u w:val="none"/>
          <w:vertAlign w:val="baseline"/>
          <w:rtl w:val="0"/>
        </w:rPr>
        <w:t xml:space="preserve">Питання дискримінації та дискримінаційного домагання через гендерну ідентичність або гендерне самовираження описані вище на сторінці </w:t>
      </w:r>
      <w:r>
        <w:rPr>
          <w:rFonts w:eastAsia="Calibri"/>
          <w:color w:val="C00000"/>
          <w:kern w:val="2"/>
          <w:sz w:val="20"/>
          <w:szCs w:val="20"/>
          <w14:ligatures w14:val="standardContextual"/>
          <w:lang w:val="uk"/>
          <w:b w:val="0"/>
          <w:bCs w:val="0"/>
          <w:i w:val="0"/>
          <w:iCs w:val="0"/>
          <w:u w:val="none"/>
          <w:vertAlign w:val="baseline"/>
          <w:rtl w:val="0"/>
        </w:rPr>
        <w:t xml:space="preserve">##</w:t>
      </w:r>
      <w:r>
        <w:rPr>
          <w:rFonts w:eastAsia="Calibri"/>
          <w:kern w:val="2"/>
          <w:sz w:val="20"/>
          <w:szCs w:val="20"/>
          <w14:ligatures w14:val="standardContextual"/>
          <w:lang w:val="uk"/>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uk"/>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uk"/>
        <w:b w:val="0"/>
        <w:bCs w:val="0"/>
        <w:i w:val="0"/>
        <w:iCs w:val="0"/>
        <w:u w:val="none"/>
        <w:vertAlign w:val="baseline"/>
        <w:rtl w:val="0"/>
      </w:rPr>
      <w:t xml:space="preserve">Типовий посібник для учнів від OSPI | Березень 2024 р.</w:t>
    </w:r>
  </w:p>
  <w:p w14:paraId="3BFFB11B" w14:textId="0FB3AA5E" w:rsidR="00AC3EDD" w:rsidRDefault="001E79F9" w:rsidP="00DC4BF4">
    <w:pPr>
      <w:pStyle w:val="Footer"/>
      <w:jc w:val="right"/>
      <w:bidi w:val="0"/>
    </w:pPr>
    <w:r>
      <w:rPr>
        <w:noProof/>
        <w:lang w:val="uk"/>
        <w:b w:val="0"/>
        <w:bCs w:val="0"/>
        <w:i w:val="0"/>
        <w:iCs w:val="0"/>
        <w:u w:val="none"/>
        <w:vertAlign w:val="baseline"/>
        <w:rtl w:val="0"/>
      </w:rPr>
      <w:drawing>
        <wp:inline distT="0" distB="0" distL="0" distR="0" wp14:anchorId="6F690EFB" wp14:editId="2C70A8D3">
          <wp:extent cx="2716637" cy="448056"/>
          <wp:effectExtent l="0" t="0" r="0" b="9525"/>
          <wp:docPr id="4" name="Picture 4" title="Логотип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uk"/>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uk"/>
        <w:b w:val="0"/>
        <w:bCs w:val="0"/>
        <w:i w:val="0"/>
        <w:iCs w:val="0"/>
        <w:u w:val="none"/>
        <w:vertAlign w:val="baseline"/>
        <w:rtl w:val="0"/>
      </w:rPr>
      <w:t xml:space="preserve">Типовий посібник для учнів від OSPI | Березень 2024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uk"/>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uk"/>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Декоративна лінія"/>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652AF9F1-7E64-46FC-8BDC-1017F908D31F}"/>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